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230" w:rsidRPr="006C0230" w:rsidRDefault="006C0230" w:rsidP="006C0230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6C0230">
        <w:rPr>
          <w:rFonts w:ascii="Times New Roman" w:hAnsi="Times New Roman"/>
          <w:sz w:val="24"/>
          <w:szCs w:val="24"/>
          <w:lang w:val="uk-UA" w:eastAsia="uk-UA"/>
        </w:rPr>
        <w:t>Додаток до рішення</w:t>
      </w:r>
    </w:p>
    <w:p w:rsidR="006C0230" w:rsidRPr="006C0230" w:rsidRDefault="006C0230" w:rsidP="006C0230">
      <w:pPr>
        <w:spacing w:after="0" w:line="240" w:lineRule="auto"/>
        <w:ind w:left="5670"/>
        <w:rPr>
          <w:rFonts w:ascii="Times New Roman" w:hAnsi="Times New Roman"/>
          <w:sz w:val="24"/>
          <w:szCs w:val="20"/>
          <w:lang w:val="uk-UA" w:eastAsia="uk-UA"/>
        </w:rPr>
      </w:pPr>
      <w:r w:rsidRPr="006C0230">
        <w:rPr>
          <w:rFonts w:ascii="Times New Roman" w:hAnsi="Times New Roman"/>
          <w:sz w:val="24"/>
          <w:szCs w:val="20"/>
          <w:lang w:val="uk-UA" w:eastAsia="uk-UA"/>
        </w:rPr>
        <w:t>Малинської міської ради</w:t>
      </w:r>
    </w:p>
    <w:p w:rsidR="006C0230" w:rsidRPr="006C0230" w:rsidRDefault="006C0230" w:rsidP="006C0230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6C0230">
        <w:rPr>
          <w:rFonts w:ascii="Times New Roman" w:hAnsi="Times New Roman"/>
          <w:sz w:val="24"/>
          <w:szCs w:val="24"/>
          <w:lang w:val="uk-UA" w:eastAsia="uk-UA"/>
        </w:rPr>
        <w:t>5-ї сесії 8-го скликання</w:t>
      </w:r>
    </w:p>
    <w:p w:rsidR="006C0230" w:rsidRPr="006C0230" w:rsidRDefault="006C0230" w:rsidP="006C0230">
      <w:pPr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6C0230">
        <w:rPr>
          <w:rFonts w:ascii="Times New Roman" w:hAnsi="Times New Roman"/>
          <w:sz w:val="24"/>
          <w:szCs w:val="24"/>
          <w:lang w:val="uk-UA" w:eastAsia="uk-UA"/>
        </w:rPr>
        <w:t>від 26.02.20</w:t>
      </w:r>
      <w:r>
        <w:rPr>
          <w:rFonts w:ascii="Times New Roman" w:hAnsi="Times New Roman"/>
          <w:sz w:val="24"/>
          <w:szCs w:val="24"/>
          <w:lang w:val="uk-UA" w:eastAsia="uk-UA"/>
        </w:rPr>
        <w:t>21 №227</w:t>
      </w:r>
    </w:p>
    <w:p w:rsidR="000D0C3A" w:rsidRPr="00F00355" w:rsidRDefault="000D0C3A" w:rsidP="000D0C3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6C0230" w:rsidRDefault="000D0C3A" w:rsidP="000D0C3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D0C3A" w:rsidRPr="00AB1D4D" w:rsidRDefault="000D0C3A" w:rsidP="000D0C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B1D4D">
        <w:rPr>
          <w:rFonts w:ascii="Times New Roman" w:hAnsi="Times New Roman"/>
          <w:b/>
          <w:sz w:val="36"/>
          <w:szCs w:val="36"/>
          <w:lang w:val="uk-UA"/>
        </w:rPr>
        <w:t xml:space="preserve">ПРОГРАМА </w:t>
      </w:r>
    </w:p>
    <w:p w:rsidR="000D0C3A" w:rsidRPr="00AB1D4D" w:rsidRDefault="000D0C3A" w:rsidP="000D0C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B1D4D">
        <w:rPr>
          <w:rFonts w:ascii="Times New Roman" w:hAnsi="Times New Roman"/>
          <w:b/>
          <w:sz w:val="36"/>
          <w:szCs w:val="36"/>
          <w:lang w:val="uk-UA"/>
        </w:rPr>
        <w:t xml:space="preserve">РОЗВИТКУ ТУРИЗМУ </w:t>
      </w:r>
      <w:r>
        <w:rPr>
          <w:rFonts w:ascii="Times New Roman" w:hAnsi="Times New Roman"/>
          <w:b/>
          <w:sz w:val="36"/>
          <w:szCs w:val="36"/>
          <w:lang w:val="uk-UA"/>
        </w:rPr>
        <w:t>МАЛИНСЬК</w:t>
      </w:r>
      <w:r w:rsidR="008217E0">
        <w:rPr>
          <w:rFonts w:ascii="Times New Roman" w:hAnsi="Times New Roman"/>
          <w:b/>
          <w:sz w:val="36"/>
          <w:szCs w:val="36"/>
          <w:lang w:val="uk-UA"/>
        </w:rPr>
        <w:t>ОЇ</w:t>
      </w:r>
      <w:r>
        <w:rPr>
          <w:rFonts w:ascii="Times New Roman" w:hAnsi="Times New Roman"/>
          <w:b/>
          <w:sz w:val="36"/>
          <w:szCs w:val="36"/>
          <w:lang w:val="uk-UA"/>
        </w:rPr>
        <w:t xml:space="preserve"> М</w:t>
      </w:r>
      <w:r w:rsidR="008217E0">
        <w:rPr>
          <w:rFonts w:ascii="Times New Roman" w:hAnsi="Times New Roman"/>
          <w:b/>
          <w:sz w:val="36"/>
          <w:szCs w:val="36"/>
          <w:lang w:val="uk-UA"/>
        </w:rPr>
        <w:t>ІСЬКОЇ ТЕРИТОРІАЛЬНОЇ ГРОМАДИ</w:t>
      </w:r>
      <w:r w:rsidRPr="00AB1D4D">
        <w:rPr>
          <w:rFonts w:ascii="Times New Roman" w:hAnsi="Times New Roman"/>
          <w:b/>
          <w:sz w:val="36"/>
          <w:szCs w:val="36"/>
          <w:lang w:val="uk-UA"/>
        </w:rPr>
        <w:t xml:space="preserve"> </w:t>
      </w:r>
    </w:p>
    <w:p w:rsidR="000D0C3A" w:rsidRPr="00AB1D4D" w:rsidRDefault="000D0C3A" w:rsidP="000D0C3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AB1D4D">
        <w:rPr>
          <w:rFonts w:ascii="Times New Roman" w:hAnsi="Times New Roman"/>
          <w:b/>
          <w:sz w:val="36"/>
          <w:szCs w:val="36"/>
          <w:lang w:val="uk-UA"/>
        </w:rPr>
        <w:t>НА 2021-2023 РОКИ</w:t>
      </w: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Pr="00A62696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217E0" w:rsidRDefault="008217E0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0C3A" w:rsidRDefault="000D0C3A" w:rsidP="000D0C3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C61FE" w:rsidRPr="00A62696" w:rsidRDefault="007C61FE" w:rsidP="000D0C3A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0D0C3A" w:rsidRPr="0017391E" w:rsidRDefault="000D0C3A" w:rsidP="0017391E">
      <w:pPr>
        <w:pStyle w:val="1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7391E">
        <w:rPr>
          <w:rFonts w:ascii="Times New Roman" w:hAnsi="Times New Roman"/>
          <w:b/>
          <w:sz w:val="24"/>
          <w:szCs w:val="24"/>
          <w:lang w:val="uk-UA"/>
        </w:rPr>
        <w:lastRenderedPageBreak/>
        <w:t>ПАСПОРТ  ПРОГРАМИ</w:t>
      </w:r>
    </w:p>
    <w:p w:rsidR="000D0C3A" w:rsidRPr="0017391E" w:rsidRDefault="000D0C3A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8"/>
        <w:gridCol w:w="4342"/>
        <w:gridCol w:w="5132"/>
      </w:tblGrid>
      <w:tr w:rsidR="000D0C3A" w:rsidRPr="0017391E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251" w:type="dxa"/>
          </w:tcPr>
          <w:p w:rsidR="000D0C3A" w:rsidRPr="0017391E" w:rsidRDefault="00C66AD6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культури виконавчого комітету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Малинської міської ради</w:t>
            </w:r>
          </w:p>
        </w:tc>
      </w:tr>
      <w:tr w:rsidR="000D0C3A" w:rsidRPr="006C0230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251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Лист Керівника Офісу Президента України від 22.06.2020 №02-01/1509, </w:t>
            </w:r>
          </w:p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доручення Прем’єр-міністра України від 30.06.2020 №26188/1/1-20, лист Державного агентства розвитку туризму України від 11.06.2020, резолюція заступника голови ОДА від 18.09.2020 № 8722/1-20/31, Цільова Програма розвитку туризму в Житомирській області на 2021-2023 роки. </w:t>
            </w:r>
          </w:p>
        </w:tc>
      </w:tr>
      <w:tr w:rsidR="000D0C3A" w:rsidRPr="0017391E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251" w:type="dxa"/>
          </w:tcPr>
          <w:p w:rsidR="000D0C3A" w:rsidRPr="0017391E" w:rsidRDefault="00C66AD6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культури виконавчого комітету</w:t>
            </w: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Малинської міської ради,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Малинський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міський краєзнавчий музей</w:t>
            </w:r>
          </w:p>
        </w:tc>
      </w:tr>
      <w:tr w:rsidR="000D0C3A" w:rsidRPr="0017391E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251" w:type="dxa"/>
          </w:tcPr>
          <w:p w:rsidR="000D0C3A" w:rsidRPr="0017391E" w:rsidRDefault="00C66AD6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культури виконавчого комітету</w:t>
            </w: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Малинської міської ради</w:t>
            </w:r>
          </w:p>
        </w:tc>
      </w:tr>
      <w:tr w:rsidR="000D0C3A" w:rsidRPr="006C0230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251" w:type="dxa"/>
          </w:tcPr>
          <w:p w:rsidR="000D0C3A" w:rsidRPr="0017391E" w:rsidRDefault="00C66AD6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Відділи культури, 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економіки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та інвестицій виконавчого комітету</w:t>
            </w: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Малинської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C66AD6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правління освіти, молоді, спорту та національно-патріотичного виховання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2B00BA" w:rsidRPr="002B00B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виконавчого комітету  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Малинської міської ради</w:t>
            </w:r>
            <w:r w:rsidR="008217E0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Малинський</w:t>
            </w:r>
            <w:proofErr w:type="spellEnd"/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міський краєзнавчий музей </w:t>
            </w:r>
          </w:p>
        </w:tc>
      </w:tr>
      <w:tr w:rsidR="000D0C3A" w:rsidRPr="0017391E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251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2021-2023 рр.</w:t>
            </w:r>
          </w:p>
        </w:tc>
      </w:tr>
      <w:tr w:rsidR="000D0C3A" w:rsidRPr="0017391E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251" w:type="dxa"/>
          </w:tcPr>
          <w:p w:rsidR="000D0C3A" w:rsidRPr="00C7467F" w:rsidRDefault="000D0C3A" w:rsidP="000D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2021 – 2023 рр. – </w:t>
            </w:r>
            <w:r w:rsidR="00C21726"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  <w:r w:rsidR="0002566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7467F" w:rsidRPr="00C7467F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.,</w:t>
            </w:r>
          </w:p>
          <w:p w:rsidR="000D0C3A" w:rsidRPr="00C7467F" w:rsidRDefault="000D0C3A" w:rsidP="000D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у тому числі:</w:t>
            </w:r>
          </w:p>
          <w:p w:rsidR="000D0C3A" w:rsidRPr="00C7467F" w:rsidRDefault="000D0C3A" w:rsidP="000D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2021 р. –  </w:t>
            </w:r>
            <w:r w:rsidR="00C7467F" w:rsidRPr="00C7467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C21726"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7467F" w:rsidRPr="00C7467F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D0C3A" w:rsidRPr="00C7467F" w:rsidRDefault="000D0C3A" w:rsidP="000D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р. –  </w:t>
            </w:r>
            <w:r w:rsidR="00C21726">
              <w:rPr>
                <w:rFonts w:ascii="Times New Roman" w:hAnsi="Times New Roman"/>
                <w:sz w:val="24"/>
                <w:szCs w:val="24"/>
                <w:lang w:val="uk-UA"/>
              </w:rPr>
              <w:t>218</w:t>
            </w:r>
            <w:r w:rsidR="00C7467F" w:rsidRPr="00C7467F">
              <w:rPr>
                <w:rFonts w:ascii="Times New Roman" w:hAnsi="Times New Roman"/>
                <w:sz w:val="24"/>
                <w:szCs w:val="24"/>
                <w:lang w:val="uk-UA"/>
              </w:rPr>
              <w:t>,00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D0C3A" w:rsidRPr="00C7467F" w:rsidRDefault="000D0C3A" w:rsidP="00C7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р. –  </w:t>
            </w:r>
            <w:r w:rsidR="00C21726">
              <w:rPr>
                <w:rFonts w:ascii="Times New Roman" w:hAnsi="Times New Roman"/>
                <w:sz w:val="24"/>
                <w:szCs w:val="24"/>
                <w:lang w:val="uk-UA"/>
              </w:rPr>
              <w:t>207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7467F" w:rsidRPr="00C7467F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0D0C3A" w:rsidRPr="0017391E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7.1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В тому числі бюджетних коштів, з них:</w:t>
            </w:r>
          </w:p>
        </w:tc>
        <w:tc>
          <w:tcPr>
            <w:tcW w:w="5251" w:type="dxa"/>
          </w:tcPr>
          <w:p w:rsidR="000D0C3A" w:rsidRPr="00C7467F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0D0C3A" w:rsidRPr="00BC04E2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C7467F" w:rsidRPr="00C66AD6" w:rsidRDefault="00C66AD6" w:rsidP="00C66AD6">
            <w:pPr>
              <w:pStyle w:val="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коштів </w:t>
            </w:r>
            <w:r w:rsidR="000D0C3A"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бюджету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Малинської міської територіальної громади (</w:t>
            </w:r>
            <w:r w:rsidR="000D132C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далі міського бюджету)</w:t>
            </w:r>
          </w:p>
          <w:p w:rsidR="00C7467F" w:rsidRPr="0017391E" w:rsidRDefault="00C7467F" w:rsidP="00BA28EA">
            <w:pPr>
              <w:pStyle w:val="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залучені кошти</w:t>
            </w:r>
          </w:p>
        </w:tc>
        <w:tc>
          <w:tcPr>
            <w:tcW w:w="5251" w:type="dxa"/>
          </w:tcPr>
          <w:p w:rsidR="000D0C3A" w:rsidRPr="00C7467F" w:rsidRDefault="000D0C3A" w:rsidP="000D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2021 р. –  </w:t>
            </w:r>
            <w:r w:rsidR="00C21726">
              <w:rPr>
                <w:rFonts w:ascii="Times New Roman" w:hAnsi="Times New Roman"/>
                <w:sz w:val="24"/>
                <w:szCs w:val="24"/>
                <w:lang w:val="uk-UA"/>
              </w:rPr>
              <w:t>232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7467F" w:rsidRPr="00C7467F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D0C3A" w:rsidRPr="00C7467F" w:rsidRDefault="000D0C3A" w:rsidP="000D0C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р. –  </w:t>
            </w:r>
            <w:r w:rsidR="00C21726">
              <w:rPr>
                <w:rFonts w:ascii="Times New Roman" w:hAnsi="Times New Roman"/>
                <w:sz w:val="24"/>
                <w:szCs w:val="24"/>
                <w:lang w:val="uk-UA"/>
              </w:rPr>
              <w:t>198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7467F" w:rsidRPr="00C7467F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0D0C3A" w:rsidRDefault="000D0C3A" w:rsidP="00C7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р. –  </w:t>
            </w:r>
            <w:r w:rsidR="00C21726">
              <w:rPr>
                <w:rFonts w:ascii="Times New Roman" w:hAnsi="Times New Roman"/>
                <w:sz w:val="24"/>
                <w:szCs w:val="24"/>
                <w:lang w:val="uk-UA"/>
              </w:rPr>
              <w:t>187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C7467F" w:rsidRPr="00C7467F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2B00BA" w:rsidRDefault="002B00BA" w:rsidP="00C7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7467F" w:rsidRPr="00C7467F" w:rsidRDefault="00C7467F" w:rsidP="00C7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2021 р. –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,00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7467F" w:rsidRPr="00C7467F" w:rsidRDefault="00C7467F" w:rsidP="00C7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р. –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,00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C7467F" w:rsidRPr="00C7467F" w:rsidRDefault="00C7467F" w:rsidP="00C74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р. –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,00 </w:t>
            </w:r>
            <w:proofErr w:type="spellStart"/>
            <w:r w:rsidRPr="00C7467F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</w:tr>
      <w:tr w:rsidR="000D0C3A" w:rsidRPr="0017391E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7.2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5251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У межах фінансових ресурсів</w:t>
            </w:r>
          </w:p>
        </w:tc>
      </w:tr>
      <w:tr w:rsidR="000D0C3A" w:rsidRPr="0017391E" w:rsidTr="001849A8">
        <w:tc>
          <w:tcPr>
            <w:tcW w:w="704" w:type="dxa"/>
          </w:tcPr>
          <w:p w:rsidR="000D0C3A" w:rsidRPr="0017391E" w:rsidRDefault="000D0C3A" w:rsidP="00784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394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Основні джерела фінансування програми</w:t>
            </w:r>
          </w:p>
        </w:tc>
        <w:tc>
          <w:tcPr>
            <w:tcW w:w="5251" w:type="dxa"/>
          </w:tcPr>
          <w:p w:rsidR="000D0C3A" w:rsidRPr="0017391E" w:rsidRDefault="000D0C3A" w:rsidP="00BA28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7391E">
              <w:rPr>
                <w:rFonts w:ascii="Times New Roman" w:hAnsi="Times New Roman"/>
                <w:sz w:val="24"/>
                <w:szCs w:val="24"/>
                <w:lang w:val="uk-UA"/>
              </w:rPr>
              <w:t>Міський бюджет, інші джерела</w:t>
            </w:r>
          </w:p>
        </w:tc>
      </w:tr>
    </w:tbl>
    <w:p w:rsidR="000D0C3A" w:rsidRPr="0017391E" w:rsidRDefault="000D0C3A" w:rsidP="000D0C3A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D0C3A" w:rsidRDefault="000D0C3A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p w:rsidR="0017391E" w:rsidRDefault="0017391E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p w:rsidR="0017391E" w:rsidRDefault="0017391E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p w:rsidR="0017391E" w:rsidRDefault="0017391E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p w:rsidR="0017391E" w:rsidRDefault="0017391E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p w:rsidR="0017391E" w:rsidRDefault="0017391E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p w:rsidR="006C0230" w:rsidRDefault="006C0230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p w:rsidR="006C0230" w:rsidRDefault="006C0230" w:rsidP="000D0C3A">
      <w:pPr>
        <w:pStyle w:val="1"/>
        <w:spacing w:after="0" w:line="240" w:lineRule="auto"/>
        <w:ind w:left="1080"/>
        <w:rPr>
          <w:rFonts w:ascii="Times New Roman" w:hAnsi="Times New Roman"/>
          <w:b/>
          <w:sz w:val="24"/>
          <w:szCs w:val="24"/>
          <w:lang w:val="uk-UA"/>
        </w:rPr>
      </w:pPr>
    </w:p>
    <w:p w:rsidR="0017391E" w:rsidRDefault="0017391E" w:rsidP="006C0230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17391E" w:rsidRPr="0017391E" w:rsidRDefault="0017391E" w:rsidP="006C0230">
      <w:pPr>
        <w:pStyle w:val="1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p w:rsidR="00BE56D4" w:rsidRPr="006C0230" w:rsidRDefault="00BE56D4" w:rsidP="006C023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230">
        <w:rPr>
          <w:rFonts w:ascii="Times New Roman" w:hAnsi="Times New Roman"/>
          <w:b/>
          <w:sz w:val="28"/>
          <w:szCs w:val="28"/>
          <w:lang w:val="uk-UA"/>
        </w:rPr>
        <w:lastRenderedPageBreak/>
        <w:t>П</w:t>
      </w:r>
      <w:r w:rsidR="000D0C3A" w:rsidRPr="006C0230">
        <w:rPr>
          <w:rFonts w:ascii="Times New Roman" w:hAnsi="Times New Roman"/>
          <w:b/>
          <w:sz w:val="28"/>
          <w:szCs w:val="28"/>
          <w:lang w:val="uk-UA"/>
        </w:rPr>
        <w:t>рограми розвитку туризму Малинськ</w:t>
      </w:r>
      <w:r w:rsidRPr="006C0230">
        <w:rPr>
          <w:rFonts w:ascii="Times New Roman" w:hAnsi="Times New Roman"/>
          <w:b/>
          <w:sz w:val="28"/>
          <w:szCs w:val="28"/>
          <w:lang w:val="uk-UA"/>
        </w:rPr>
        <w:t>ої міської територіальної громади</w:t>
      </w:r>
    </w:p>
    <w:p w:rsidR="000D0C3A" w:rsidRPr="006C0230" w:rsidRDefault="00092437" w:rsidP="006C023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23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D0C3A" w:rsidRPr="006C0230">
        <w:rPr>
          <w:rFonts w:ascii="Times New Roman" w:hAnsi="Times New Roman"/>
          <w:b/>
          <w:sz w:val="28"/>
          <w:szCs w:val="28"/>
          <w:lang w:val="uk-UA"/>
        </w:rPr>
        <w:t>на 2021 – 2023 роки</w:t>
      </w:r>
    </w:p>
    <w:p w:rsidR="000D0C3A" w:rsidRPr="006C0230" w:rsidRDefault="000D0C3A" w:rsidP="006C0230">
      <w:pPr>
        <w:pStyle w:val="1"/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667087" w:rsidRPr="006C0230" w:rsidRDefault="00092437" w:rsidP="006C023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230">
        <w:rPr>
          <w:rFonts w:ascii="Times New Roman" w:hAnsi="Times New Roman"/>
          <w:b/>
          <w:sz w:val="28"/>
          <w:szCs w:val="28"/>
          <w:lang w:val="uk-UA"/>
        </w:rPr>
        <w:t>Розділ І. Загальні положення</w:t>
      </w:r>
    </w:p>
    <w:p w:rsidR="00092437" w:rsidRPr="006C0230" w:rsidRDefault="00092437" w:rsidP="00092437">
      <w:pPr>
        <w:pStyle w:val="a3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092437" w:rsidRPr="006C0230" w:rsidRDefault="00092437" w:rsidP="00092437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>Сучасний розвиток галузі культури, збереження культурної та духовної спадщини України, історичного надбання територіальної громади – є важливою складовою процесу комплексного розвитку громади.</w:t>
      </w:r>
    </w:p>
    <w:p w:rsidR="00092437" w:rsidRPr="006C0230" w:rsidRDefault="00092437" w:rsidP="00092437">
      <w:pPr>
        <w:pStyle w:val="a3"/>
        <w:ind w:firstLine="709"/>
        <w:jc w:val="both"/>
        <w:rPr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Малинській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 xml:space="preserve"> міській територіальній громаді виділяють </w:t>
      </w:r>
      <w:r w:rsidR="008217E0" w:rsidRPr="006C0230">
        <w:rPr>
          <w:rFonts w:ascii="Times New Roman" w:hAnsi="Times New Roman"/>
          <w:sz w:val="28"/>
          <w:szCs w:val="28"/>
          <w:lang w:val="uk-UA"/>
        </w:rPr>
        <w:t>наступні</w:t>
      </w:r>
      <w:r w:rsidRPr="006C0230">
        <w:rPr>
          <w:rFonts w:ascii="Times New Roman" w:hAnsi="Times New Roman"/>
          <w:sz w:val="28"/>
          <w:szCs w:val="28"/>
          <w:lang w:val="uk-UA"/>
        </w:rPr>
        <w:t xml:space="preserve"> перспективн</w:t>
      </w:r>
      <w:r w:rsidR="008217E0" w:rsidRPr="006C0230">
        <w:rPr>
          <w:rFonts w:ascii="Times New Roman" w:hAnsi="Times New Roman"/>
          <w:sz w:val="28"/>
          <w:szCs w:val="28"/>
          <w:lang w:val="uk-UA"/>
        </w:rPr>
        <w:t>і</w:t>
      </w:r>
      <w:r w:rsidRPr="006C0230">
        <w:rPr>
          <w:rFonts w:ascii="Times New Roman" w:hAnsi="Times New Roman"/>
          <w:sz w:val="28"/>
          <w:szCs w:val="28"/>
          <w:lang w:val="uk-UA"/>
        </w:rPr>
        <w:t xml:space="preserve"> напрям</w:t>
      </w:r>
      <w:r w:rsidR="008217E0" w:rsidRPr="006C0230">
        <w:rPr>
          <w:rFonts w:ascii="Times New Roman" w:hAnsi="Times New Roman"/>
          <w:sz w:val="28"/>
          <w:szCs w:val="28"/>
          <w:lang w:val="uk-UA"/>
        </w:rPr>
        <w:t>ки</w:t>
      </w:r>
      <w:r w:rsidRPr="006C0230">
        <w:rPr>
          <w:rFonts w:ascii="Times New Roman" w:hAnsi="Times New Roman"/>
          <w:sz w:val="28"/>
          <w:szCs w:val="28"/>
          <w:lang w:val="uk-UA"/>
        </w:rPr>
        <w:t xml:space="preserve"> туризму:</w:t>
      </w:r>
      <w:r w:rsidRPr="006C0230">
        <w:rPr>
          <w:sz w:val="28"/>
          <w:szCs w:val="28"/>
          <w:lang w:val="uk-UA"/>
        </w:rPr>
        <w:t xml:space="preserve"> </w:t>
      </w:r>
    </w:p>
    <w:p w:rsidR="00092437" w:rsidRPr="006C0230" w:rsidRDefault="00092437" w:rsidP="000924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>- Автентичний туризм.</w:t>
      </w:r>
    </w:p>
    <w:p w:rsidR="00092437" w:rsidRPr="006C0230" w:rsidRDefault="00092437" w:rsidP="000924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>- Фестивальний туризм.</w:t>
      </w:r>
    </w:p>
    <w:p w:rsidR="00092437" w:rsidRPr="006C0230" w:rsidRDefault="00092437" w:rsidP="000924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 xml:space="preserve">- Спортивний туризм. </w:t>
      </w:r>
    </w:p>
    <w:p w:rsidR="00092437" w:rsidRPr="006C0230" w:rsidRDefault="00092437" w:rsidP="000924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 xml:space="preserve">- Діловий туризм – зручне  розташування на карті області (приблизно однакова відстань до Києва та Житомира) дає 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підгрунття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 xml:space="preserve"> для його розвитку.</w:t>
      </w:r>
    </w:p>
    <w:p w:rsidR="00092437" w:rsidRPr="006C0230" w:rsidRDefault="00092437" w:rsidP="000924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 xml:space="preserve">Визначено 8 туристичних магнітів міської територіальної громади - це 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Малинське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 xml:space="preserve"> городище, Фабрика банкнотного паперу, підводний музей скульптур, ог</w:t>
      </w:r>
      <w:r w:rsidR="001849A8" w:rsidRPr="006C0230">
        <w:rPr>
          <w:rFonts w:ascii="Times New Roman" w:hAnsi="Times New Roman"/>
          <w:sz w:val="28"/>
          <w:szCs w:val="28"/>
          <w:lang w:val="uk-UA"/>
        </w:rPr>
        <w:t xml:space="preserve">лядовий майданчик МКДЗ, </w:t>
      </w:r>
      <w:r w:rsidRPr="006C0230">
        <w:rPr>
          <w:rFonts w:ascii="Times New Roman" w:hAnsi="Times New Roman"/>
          <w:sz w:val="28"/>
          <w:szCs w:val="28"/>
          <w:lang w:val="uk-UA"/>
        </w:rPr>
        <w:t>парк</w:t>
      </w:r>
      <w:r w:rsidR="001849A8" w:rsidRPr="006C0230">
        <w:rPr>
          <w:rFonts w:ascii="Times New Roman" w:hAnsi="Times New Roman"/>
          <w:sz w:val="28"/>
          <w:szCs w:val="28"/>
          <w:lang w:val="uk-UA"/>
        </w:rPr>
        <w:t xml:space="preserve">-пам'ятка садово-паркового мистецтва </w:t>
      </w:r>
      <w:r w:rsidRPr="006C0230">
        <w:rPr>
          <w:rFonts w:ascii="Times New Roman" w:hAnsi="Times New Roman"/>
          <w:sz w:val="28"/>
          <w:szCs w:val="28"/>
          <w:lang w:val="uk-UA"/>
        </w:rPr>
        <w:t>ім.</w:t>
      </w:r>
      <w:r w:rsidR="001849A8" w:rsidRPr="006C023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М.М.Миклухо-Маклая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 xml:space="preserve">,  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Малинський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 xml:space="preserve"> міський краєзнавчий музей, музей-садиба 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М.М.Миклухо-Маклая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с.Гамарня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>), етнографічний музей (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с.Савлуки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092437" w:rsidRPr="006C0230" w:rsidRDefault="00092437" w:rsidP="000924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>Програма розвитку туризму Малинської МТГ на 2021-2023 роки розроблена на виконання листа Керівника Офісу Президента України від 22.06.2020 №02-01/1509, доручення Прем’єр-міністра України від 30.06.2020 №26188/1/1-20 з урахуванням Указу Президента України від 18.08.2020 №329 «</w:t>
      </w: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заходи щодо підтримки сфери культури, охорони культурної спадщини, розвитку креативних індустрій та туризму».</w:t>
      </w:r>
    </w:p>
    <w:p w:rsidR="00092437" w:rsidRPr="006C0230" w:rsidRDefault="00092437" w:rsidP="000924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:rsidR="00092437" w:rsidRPr="006C0230" w:rsidRDefault="00092437" w:rsidP="0009243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ІІ. Мета Програми</w:t>
      </w:r>
    </w:p>
    <w:p w:rsidR="00092437" w:rsidRPr="006C0230" w:rsidRDefault="00092437" w:rsidP="000924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:rsidR="00092437" w:rsidRPr="006C0230" w:rsidRDefault="00092437" w:rsidP="0017391E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Метою Програми є:</w:t>
      </w:r>
    </w:p>
    <w:p w:rsidR="00092437" w:rsidRPr="006C0230" w:rsidRDefault="00092437" w:rsidP="000924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:rsidR="00092437" w:rsidRPr="006C0230" w:rsidRDefault="00092437" w:rsidP="0009243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 xml:space="preserve">Метою Програми є створення якісного конкурентоздатного туристичного продукту Малинської МТГ, що сприятиме збільшенню туристичних потоків, перетворення напряму туризму в прибуткову галузь економіки громади, створення умов для інформаційної обізнаності, як населення МТГ, так і поза її межами про туристичні об’єкти та продукти, які пропонуються для пізнавальних, рекреаційних, освітніх, розважальних подорожей та екскурсій, формування позитивного туристичного іміджу </w:t>
      </w:r>
      <w:r w:rsidR="008B1E64" w:rsidRPr="006C0230">
        <w:rPr>
          <w:rFonts w:ascii="Times New Roman" w:hAnsi="Times New Roman"/>
          <w:sz w:val="28"/>
          <w:szCs w:val="28"/>
          <w:lang w:val="uk-UA"/>
        </w:rPr>
        <w:t xml:space="preserve">Малинської </w:t>
      </w:r>
      <w:r w:rsidRPr="006C0230">
        <w:rPr>
          <w:rFonts w:ascii="Times New Roman" w:hAnsi="Times New Roman"/>
          <w:sz w:val="28"/>
          <w:szCs w:val="28"/>
          <w:lang w:val="uk-UA"/>
        </w:rPr>
        <w:t xml:space="preserve">міської територіальної громади, популяризація туристичної </w:t>
      </w:r>
      <w:proofErr w:type="spellStart"/>
      <w:r w:rsidRPr="006C0230">
        <w:rPr>
          <w:rFonts w:ascii="Times New Roman" w:hAnsi="Times New Roman"/>
          <w:sz w:val="28"/>
          <w:szCs w:val="28"/>
          <w:lang w:val="uk-UA"/>
        </w:rPr>
        <w:t>Малинщини</w:t>
      </w:r>
      <w:proofErr w:type="spellEnd"/>
      <w:r w:rsidRPr="006C0230">
        <w:rPr>
          <w:rFonts w:ascii="Times New Roman" w:hAnsi="Times New Roman"/>
          <w:sz w:val="28"/>
          <w:szCs w:val="28"/>
          <w:lang w:val="uk-UA"/>
        </w:rPr>
        <w:t xml:space="preserve"> на Всеукраїнському рівні. </w:t>
      </w:r>
    </w:p>
    <w:p w:rsidR="0017391E" w:rsidRPr="006C0230" w:rsidRDefault="0017391E" w:rsidP="00092437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2437" w:rsidRPr="006C0230" w:rsidRDefault="00092437" w:rsidP="00092437">
      <w:pPr>
        <w:tabs>
          <w:tab w:val="left" w:pos="5760"/>
        </w:tabs>
        <w:ind w:left="75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ІІІ. Завдання Програми</w:t>
      </w:r>
    </w:p>
    <w:p w:rsidR="00092437" w:rsidRPr="006C0230" w:rsidRDefault="00092437" w:rsidP="0009243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lastRenderedPageBreak/>
        <w:t>Основні завдання Програми спрямовані на реалізацію державної політики щодо вирішення проблем розвитку туристу в громаді:</w:t>
      </w:r>
    </w:p>
    <w:p w:rsidR="00092437" w:rsidRPr="006C0230" w:rsidRDefault="00092437" w:rsidP="000924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формування дієвих механізмів підвищення конкурентоспроможності туристичного потенціалу громади;</w:t>
      </w:r>
    </w:p>
    <w:p w:rsidR="00092437" w:rsidRPr="006C0230" w:rsidRDefault="004E52F2" w:rsidP="000924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підвищення конкурентоздатності громади за рівнем розвитку туристичної інфраструктури;</w:t>
      </w:r>
    </w:p>
    <w:p w:rsidR="004E52F2" w:rsidRPr="006C0230" w:rsidRDefault="004E52F2" w:rsidP="000924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надання організаційної, інформаційної, консультаційної та освітньої підтримки в туристичній галузі;</w:t>
      </w:r>
    </w:p>
    <w:p w:rsidR="004E52F2" w:rsidRPr="006C0230" w:rsidRDefault="004E52F2" w:rsidP="0009243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збільшення частки надходжень до бюджету територіальної громади від туристичної діяльності.</w:t>
      </w:r>
    </w:p>
    <w:p w:rsidR="004E52F2" w:rsidRPr="006C0230" w:rsidRDefault="004E52F2" w:rsidP="004E52F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Реалізація визначених завдань та подальший розвиток туризму міської територіальної громади в більшості випадків залежить від змін законодавства у сфері туристичної діяльності, регуляторної політики, державного контролю, політичної та економічної ситуації в країні.</w:t>
      </w:r>
    </w:p>
    <w:p w:rsidR="00D738B8" w:rsidRPr="006C0230" w:rsidRDefault="00D738B8" w:rsidP="004E52F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:rsidR="00D738B8" w:rsidRPr="006C0230" w:rsidRDefault="00D738B8" w:rsidP="0017391E">
      <w:pPr>
        <w:tabs>
          <w:tab w:val="left" w:pos="5760"/>
        </w:tabs>
        <w:ind w:left="360"/>
        <w:jc w:val="center"/>
        <w:rPr>
          <w:b/>
          <w:sz w:val="28"/>
          <w:szCs w:val="28"/>
          <w:lang w:val="uk-UA"/>
        </w:rPr>
      </w:pPr>
      <w:r w:rsidRPr="006C0230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IV. Фінансове забезпечення Програми.</w:t>
      </w:r>
    </w:p>
    <w:p w:rsidR="00D738B8" w:rsidRPr="006C0230" w:rsidRDefault="00D738B8" w:rsidP="00D738B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sz w:val="28"/>
          <w:szCs w:val="28"/>
          <w:lang w:val="uk-UA"/>
        </w:rPr>
        <w:t xml:space="preserve"> </w:t>
      </w:r>
      <w:r w:rsidRPr="006C0230">
        <w:rPr>
          <w:rFonts w:ascii="Times New Roman" w:hAnsi="Times New Roman"/>
          <w:sz w:val="28"/>
          <w:szCs w:val="28"/>
          <w:lang w:val="uk-UA"/>
        </w:rPr>
        <w:t>Головний розпорядник коштів і виконавець цієї Прогр</w:t>
      </w:r>
      <w:r w:rsidR="00BC04E2" w:rsidRPr="006C0230">
        <w:rPr>
          <w:rFonts w:ascii="Times New Roman" w:hAnsi="Times New Roman"/>
          <w:sz w:val="28"/>
          <w:szCs w:val="28"/>
          <w:lang w:val="uk-UA"/>
        </w:rPr>
        <w:t xml:space="preserve">ами – відділ культури виконавчого комітету </w:t>
      </w:r>
      <w:r w:rsidRPr="006C0230">
        <w:rPr>
          <w:rFonts w:ascii="Times New Roman" w:hAnsi="Times New Roman"/>
          <w:sz w:val="28"/>
          <w:szCs w:val="28"/>
          <w:lang w:val="uk-UA"/>
        </w:rPr>
        <w:t>Малинської міської ради. Програма виконується за рахунок коштів міського бюджету, а також інших не заборонених законодавством дж</w:t>
      </w:r>
      <w:r w:rsidR="00C51596" w:rsidRPr="006C0230">
        <w:rPr>
          <w:rFonts w:ascii="Times New Roman" w:hAnsi="Times New Roman"/>
          <w:sz w:val="28"/>
          <w:szCs w:val="28"/>
          <w:lang w:val="uk-UA"/>
        </w:rPr>
        <w:t xml:space="preserve">ерел. </w:t>
      </w:r>
      <w:r w:rsidRPr="006C0230">
        <w:rPr>
          <w:rFonts w:ascii="Times New Roman" w:hAnsi="Times New Roman"/>
          <w:sz w:val="28"/>
          <w:szCs w:val="28"/>
          <w:lang w:val="uk-UA"/>
        </w:rPr>
        <w:t xml:space="preserve">Малинська міська рада передбачає необхідні кошти для виконання Програми </w:t>
      </w:r>
      <w:r w:rsidR="00C16623" w:rsidRPr="006C0230">
        <w:rPr>
          <w:rFonts w:ascii="Times New Roman" w:hAnsi="Times New Roman"/>
          <w:sz w:val="28"/>
          <w:szCs w:val="28"/>
          <w:lang w:val="uk-UA"/>
        </w:rPr>
        <w:t xml:space="preserve">під час формування міського бюджету та внесення змін до нього, </w:t>
      </w:r>
      <w:r w:rsidRPr="006C0230">
        <w:rPr>
          <w:rFonts w:ascii="Times New Roman" w:hAnsi="Times New Roman"/>
          <w:sz w:val="28"/>
          <w:szCs w:val="28"/>
          <w:lang w:val="uk-UA"/>
        </w:rPr>
        <w:t xml:space="preserve">з урахуванням можливостей бюджету на відповідний рік. </w:t>
      </w:r>
    </w:p>
    <w:p w:rsidR="00D738B8" w:rsidRPr="006C0230" w:rsidRDefault="00D738B8" w:rsidP="00D738B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>Використання коштів міського бюджету здійснює Відділ культури виконавчого комітету Малинської міської ради у межах видатків, затверджених на реалізацію заходів Програми.</w:t>
      </w:r>
    </w:p>
    <w:p w:rsidR="00D738B8" w:rsidRPr="006C0230" w:rsidRDefault="00D738B8" w:rsidP="00D738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ab/>
        <w:t>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 1569/21881.</w:t>
      </w:r>
    </w:p>
    <w:p w:rsidR="00D738B8" w:rsidRPr="006C0230" w:rsidRDefault="00D738B8" w:rsidP="00D738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C0230">
        <w:rPr>
          <w:rFonts w:ascii="Times New Roman" w:hAnsi="Times New Roman"/>
          <w:sz w:val="28"/>
          <w:szCs w:val="28"/>
          <w:lang w:val="uk-UA"/>
        </w:rPr>
        <w:tab/>
        <w:t>Контроль за цільовим та ефективним використанням коштів міського бюджету, що спрямовуються на реалізацію заходів Програми, покладаєт</w:t>
      </w:r>
      <w:r w:rsidR="00C51596" w:rsidRPr="006C0230">
        <w:rPr>
          <w:rFonts w:ascii="Times New Roman" w:hAnsi="Times New Roman"/>
          <w:sz w:val="28"/>
          <w:szCs w:val="28"/>
          <w:lang w:val="uk-UA"/>
        </w:rPr>
        <w:t>ься на Відділ культури виконавчого комітету</w:t>
      </w:r>
      <w:r w:rsidRPr="006C0230">
        <w:rPr>
          <w:rFonts w:ascii="Times New Roman" w:hAnsi="Times New Roman"/>
          <w:sz w:val="28"/>
          <w:szCs w:val="28"/>
          <w:lang w:val="uk-UA"/>
        </w:rPr>
        <w:t xml:space="preserve"> Малинської міської ради. </w:t>
      </w:r>
    </w:p>
    <w:p w:rsidR="00D738B8" w:rsidRPr="006C0230" w:rsidRDefault="00D738B8" w:rsidP="00D738B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</w:p>
    <w:p w:rsidR="00D738B8" w:rsidRPr="006C0230" w:rsidRDefault="00D738B8" w:rsidP="00D738B8">
      <w:pPr>
        <w:tabs>
          <w:tab w:val="left" w:pos="5760"/>
        </w:tabs>
        <w:ind w:left="36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V. Очікувані результати виконання Програми.</w:t>
      </w:r>
    </w:p>
    <w:p w:rsidR="00D738B8" w:rsidRPr="006C0230" w:rsidRDefault="00D738B8" w:rsidP="00D738B8">
      <w:pPr>
        <w:tabs>
          <w:tab w:val="left" w:pos="5760"/>
        </w:tabs>
        <w:ind w:left="36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Виконання Програми дасть змогу:</w:t>
      </w:r>
    </w:p>
    <w:p w:rsidR="00D738B8" w:rsidRPr="006C0230" w:rsidRDefault="00D738B8" w:rsidP="00D738B8">
      <w:pPr>
        <w:pStyle w:val="a4"/>
        <w:numPr>
          <w:ilvl w:val="0"/>
          <w:numId w:val="1"/>
        </w:numPr>
        <w:tabs>
          <w:tab w:val="left" w:pos="5760"/>
        </w:tabs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сприяти відновленню і зміцненню існуючої матеріальної бази туризму, сприятиме створенню якісного туристичного продукту, здатного максимально задовольнити потреби населення громади;</w:t>
      </w:r>
    </w:p>
    <w:p w:rsidR="00105293" w:rsidRPr="006C0230" w:rsidRDefault="00105293" w:rsidP="00D738B8">
      <w:pPr>
        <w:pStyle w:val="a4"/>
        <w:numPr>
          <w:ilvl w:val="0"/>
          <w:numId w:val="1"/>
        </w:numPr>
        <w:tabs>
          <w:tab w:val="left" w:pos="5760"/>
        </w:tabs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розробки та облаштування туристичних маршрутів та об’єктів, що мають особливу культурну та історичну цінність.</w:t>
      </w:r>
    </w:p>
    <w:p w:rsidR="00105293" w:rsidRPr="006C0230" w:rsidRDefault="00105293" w:rsidP="00D738B8">
      <w:pPr>
        <w:pStyle w:val="a4"/>
        <w:numPr>
          <w:ilvl w:val="0"/>
          <w:numId w:val="1"/>
        </w:numPr>
        <w:tabs>
          <w:tab w:val="left" w:pos="5760"/>
        </w:tabs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lastRenderedPageBreak/>
        <w:t xml:space="preserve">створення на території міської громади туристичних </w:t>
      </w:r>
      <w:proofErr w:type="spellStart"/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дестинацій</w:t>
      </w:r>
      <w:proofErr w:type="spellEnd"/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 використанням наявного регіонального туристичного потенціалу, доступності та зручності</w:t>
      </w:r>
    </w:p>
    <w:p w:rsidR="00105293" w:rsidRPr="006C0230" w:rsidRDefault="00105293" w:rsidP="0010529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популяризаці</w:t>
      </w:r>
      <w:r w:rsidR="004A05FD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я</w:t>
      </w: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рекламаці</w:t>
      </w:r>
      <w:r w:rsidR="008F2232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ї</w:t>
      </w: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та інформаційного супроводу туристичного потенціалу Малинської МТГ.</w:t>
      </w:r>
    </w:p>
    <w:p w:rsidR="00105293" w:rsidRPr="006C0230" w:rsidRDefault="00105293" w:rsidP="00105293">
      <w:pPr>
        <w:pStyle w:val="a4"/>
        <w:spacing w:after="0" w:line="240" w:lineRule="auto"/>
        <w:ind w:left="1070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Очікувані результати:</w:t>
      </w:r>
    </w:p>
    <w:p w:rsidR="00105293" w:rsidRPr="006C0230" w:rsidRDefault="00105293" w:rsidP="0010529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підвищення якості туристичних послуг;</w:t>
      </w:r>
    </w:p>
    <w:p w:rsidR="00105293" w:rsidRPr="006C0230" w:rsidRDefault="00105293" w:rsidP="0010529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розширення переліку туристичних та туристично-інформаційних послуг;</w:t>
      </w:r>
    </w:p>
    <w:p w:rsidR="00105293" w:rsidRPr="006C0230" w:rsidRDefault="00105293" w:rsidP="0010529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збільшення кількості турист</w:t>
      </w:r>
      <w:r w:rsidR="008F2232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ів та екскурсантів;</w:t>
      </w:r>
    </w:p>
    <w:p w:rsidR="008F2232" w:rsidRPr="006C0230" w:rsidRDefault="008F2232" w:rsidP="0010529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збільшення щорічних надходжень до бюджету громади.</w:t>
      </w:r>
    </w:p>
    <w:p w:rsidR="00105293" w:rsidRPr="006C0230" w:rsidRDefault="00105293" w:rsidP="000D132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</w:p>
    <w:p w:rsidR="00105293" w:rsidRPr="006C0230" w:rsidRDefault="00105293" w:rsidP="00105293">
      <w:pPr>
        <w:tabs>
          <w:tab w:val="left" w:pos="5760"/>
        </w:tabs>
        <w:ind w:left="36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Розділ VІ. Координація та контроль за ходом виконання Програми</w:t>
      </w:r>
    </w:p>
    <w:p w:rsidR="00105293" w:rsidRPr="006C0230" w:rsidRDefault="00105293" w:rsidP="00105293">
      <w:pPr>
        <w:pStyle w:val="a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      Координацію виконання Програми забез</w:t>
      </w:r>
      <w:r w:rsidR="004A05FD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печує відділ культури </w:t>
      </w:r>
      <w:r w:rsidR="004A05FD" w:rsidRPr="006C0230">
        <w:rPr>
          <w:rFonts w:ascii="Times New Roman" w:hAnsi="Times New Roman"/>
          <w:sz w:val="28"/>
          <w:szCs w:val="28"/>
          <w:lang w:val="uk-UA"/>
        </w:rPr>
        <w:t xml:space="preserve">виконавчого комітету  </w:t>
      </w: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Малинської  міської ради. Виконавцями Програми</w:t>
      </w:r>
      <w:r w:rsidR="004A05FD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визначені: Відділи культури, </w:t>
      </w: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економіки</w:t>
      </w:r>
      <w:r w:rsidR="004A05FD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та інвестицій </w:t>
      </w:r>
      <w:r w:rsidR="004A05FD" w:rsidRPr="006C0230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Малинської міської ради, </w:t>
      </w:r>
      <w:r w:rsidR="009C7463" w:rsidRPr="006C02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управління освіти, молоді, спорту та національно-патріотичного виховання виконавчого комітету </w:t>
      </w:r>
      <w:r w:rsidR="009C7463" w:rsidRPr="006C0230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  <w:r w:rsidR="007C0718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Малинський</w:t>
      </w:r>
      <w:proofErr w:type="spellEnd"/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міський краєзнавчий музей.</w:t>
      </w:r>
    </w:p>
    <w:p w:rsidR="00105293" w:rsidRPr="006C0230" w:rsidRDefault="00105293" w:rsidP="00105293">
      <w:pPr>
        <w:pStyle w:val="a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     Контроль за цільовим та ефективним використанням коштів здійснюється відповідно до норм чинного законодавства.</w:t>
      </w:r>
    </w:p>
    <w:p w:rsidR="00105293" w:rsidRPr="006C0230" w:rsidRDefault="004E12C5" w:rsidP="00105293">
      <w:pPr>
        <w:pStyle w:val="a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     </w:t>
      </w:r>
      <w:r w:rsidR="00105293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Відділ культури виконавчого комітету Малинської міської </w:t>
      </w:r>
      <w:r w:rsidR="009C7463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ради за поданням інформації </w:t>
      </w:r>
      <w:r w:rsidR="009C7463" w:rsidRPr="006C02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управління освіти, молоді, спорту та національно-патріотичного виховання виконавчого комітету </w:t>
      </w:r>
      <w:r w:rsidR="009C7463" w:rsidRPr="006C0230">
        <w:rPr>
          <w:rFonts w:ascii="Times New Roman" w:hAnsi="Times New Roman"/>
          <w:sz w:val="28"/>
          <w:szCs w:val="28"/>
          <w:lang w:val="uk-UA"/>
        </w:rPr>
        <w:t>Малинської міської ради, Малинського</w:t>
      </w:r>
      <w:r w:rsidR="00105293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міського краєзнавчого музею щороку до 20 березня подає відділу економіки</w:t>
      </w:r>
      <w:r w:rsidR="009C7463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та інвестицій</w:t>
      </w:r>
      <w:r w:rsidR="009C7463" w:rsidRPr="006C023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виконавчого комітету </w:t>
      </w:r>
      <w:r w:rsidR="009C7463" w:rsidRPr="006C0230">
        <w:rPr>
          <w:rFonts w:ascii="Times New Roman" w:hAnsi="Times New Roman"/>
          <w:sz w:val="28"/>
          <w:szCs w:val="28"/>
          <w:lang w:val="uk-UA"/>
        </w:rPr>
        <w:t>Малинської міської ради</w:t>
      </w:r>
      <w:r w:rsidR="009C7463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105293"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узагальнену інформацію про стан та результати виконання Програми.</w:t>
      </w:r>
    </w:p>
    <w:p w:rsidR="0017391E" w:rsidRPr="006C0230" w:rsidRDefault="00105293" w:rsidP="000D132C">
      <w:pPr>
        <w:pStyle w:val="a3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sectPr w:rsidR="0017391E" w:rsidRPr="006C0230" w:rsidSect="006C023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C023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    Основні напрями і заходи Програми можуть коригуватися в період її дії.</w:t>
      </w:r>
    </w:p>
    <w:p w:rsidR="00BA28EA" w:rsidRPr="00A62696" w:rsidRDefault="00BA28EA" w:rsidP="00BA28EA">
      <w:pPr>
        <w:pStyle w:val="1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05293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lastRenderedPageBreak/>
        <w:t>Розділ VІ</w:t>
      </w:r>
      <w:r w:rsidRPr="004E12C5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>І</w:t>
      </w:r>
      <w:r w:rsidRPr="00105293">
        <w:rPr>
          <w:rFonts w:ascii="Times New Roman" w:hAnsi="Times New Roman"/>
          <w:b/>
          <w:bCs/>
          <w:sz w:val="28"/>
          <w:szCs w:val="28"/>
          <w:shd w:val="clear" w:color="auto" w:fill="FFFFFF"/>
          <w:lang w:val="uk-UA"/>
        </w:rPr>
        <w:t xml:space="preserve">. </w:t>
      </w:r>
      <w:r w:rsidRPr="00A62696">
        <w:rPr>
          <w:rFonts w:ascii="Times New Roman" w:hAnsi="Times New Roman"/>
          <w:b/>
          <w:sz w:val="28"/>
          <w:szCs w:val="28"/>
          <w:lang w:val="uk-UA"/>
        </w:rPr>
        <w:t>Перелік завдань (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напрямів) і заходів Програми </w:t>
      </w:r>
    </w:p>
    <w:p w:rsidR="00BA28EA" w:rsidRPr="00A62696" w:rsidRDefault="00BA28EA" w:rsidP="00BA28EA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BA28EA" w:rsidRDefault="00BA28EA" w:rsidP="00BA28EA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  <w:r w:rsidRPr="00C67E98">
        <w:rPr>
          <w:rFonts w:ascii="Times New Roman" w:hAnsi="Times New Roman"/>
          <w:sz w:val="28"/>
          <w:szCs w:val="28"/>
          <w:lang w:val="uk-UA"/>
        </w:rPr>
        <w:t>Перелік завдань і заходів Програми</w:t>
      </w:r>
    </w:p>
    <w:p w:rsidR="00BA28EA" w:rsidRDefault="00BA28EA" w:rsidP="00BA28EA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9"/>
        <w:gridCol w:w="2267"/>
        <w:gridCol w:w="1155"/>
        <w:gridCol w:w="2126"/>
        <w:gridCol w:w="1417"/>
        <w:gridCol w:w="1134"/>
        <w:gridCol w:w="1276"/>
        <w:gridCol w:w="992"/>
        <w:gridCol w:w="993"/>
        <w:gridCol w:w="1969"/>
      </w:tblGrid>
      <w:tr w:rsidR="000726D1" w:rsidRPr="00E34900" w:rsidTr="004D2B71">
        <w:trPr>
          <w:trHeight w:val="787"/>
          <w:jc w:val="center"/>
        </w:trPr>
        <w:tc>
          <w:tcPr>
            <w:tcW w:w="1839" w:type="dxa"/>
            <w:vMerge w:val="restart"/>
            <w:shd w:val="clear" w:color="000000" w:fill="FFFFFF"/>
            <w:vAlign w:val="center"/>
          </w:tcPr>
          <w:p w:rsidR="006F1121" w:rsidRPr="004D2B71" w:rsidRDefault="006F1121" w:rsidP="006C0230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Назва напрямку діяльності (пріоритетні завдання)</w:t>
            </w:r>
          </w:p>
        </w:tc>
        <w:tc>
          <w:tcPr>
            <w:tcW w:w="2267" w:type="dxa"/>
            <w:vMerge w:val="restart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Перелік заходів програми</w:t>
            </w:r>
          </w:p>
        </w:tc>
        <w:tc>
          <w:tcPr>
            <w:tcW w:w="1155" w:type="dxa"/>
            <w:vMerge w:val="restart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Термін виконання заходу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Орієнтовні обсяги фінансування (вартість), тис.грн.*</w:t>
            </w:r>
          </w:p>
        </w:tc>
        <w:tc>
          <w:tcPr>
            <w:tcW w:w="3261" w:type="dxa"/>
            <w:gridSpan w:val="3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У тому числі за роками</w:t>
            </w:r>
          </w:p>
        </w:tc>
        <w:tc>
          <w:tcPr>
            <w:tcW w:w="1969" w:type="dxa"/>
            <w:vMerge w:val="restart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Очікуваний результат від виконання заходу</w:t>
            </w:r>
          </w:p>
        </w:tc>
      </w:tr>
      <w:tr w:rsidR="000726D1" w:rsidRPr="00C65C26" w:rsidTr="004D2B71">
        <w:trPr>
          <w:trHeight w:val="735"/>
          <w:jc w:val="center"/>
        </w:trPr>
        <w:tc>
          <w:tcPr>
            <w:tcW w:w="1839" w:type="dxa"/>
            <w:vMerge/>
            <w:vAlign w:val="center"/>
          </w:tcPr>
          <w:p w:rsidR="006F1121" w:rsidRPr="004D2B71" w:rsidRDefault="006F1121" w:rsidP="006C0230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vMerge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55" w:type="dxa"/>
            <w:vMerge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2022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2023</w:t>
            </w:r>
          </w:p>
        </w:tc>
        <w:tc>
          <w:tcPr>
            <w:tcW w:w="1969" w:type="dxa"/>
            <w:vMerge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726D1" w:rsidRPr="00C65C26" w:rsidTr="004D2B71">
        <w:trPr>
          <w:trHeight w:val="317"/>
          <w:jc w:val="center"/>
        </w:trPr>
        <w:tc>
          <w:tcPr>
            <w:tcW w:w="1839" w:type="dxa"/>
            <w:shd w:val="clear" w:color="000000" w:fill="FFFFFF"/>
            <w:vAlign w:val="center"/>
          </w:tcPr>
          <w:p w:rsidR="00BA28EA" w:rsidRPr="004D2B71" w:rsidRDefault="00BA28EA" w:rsidP="006C0230">
            <w:pPr>
              <w:spacing w:after="0" w:line="240" w:lineRule="auto"/>
              <w:ind w:left="121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26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</w:tr>
      <w:tr w:rsidR="000726D1" w:rsidRPr="00E34900" w:rsidTr="004D2B71">
        <w:trPr>
          <w:trHeight w:val="1963"/>
          <w:jc w:val="center"/>
        </w:trPr>
        <w:tc>
          <w:tcPr>
            <w:tcW w:w="1839" w:type="dxa"/>
            <w:vMerge w:val="restart"/>
            <w:vAlign w:val="center"/>
          </w:tcPr>
          <w:p w:rsidR="00BA28EA" w:rsidRPr="004D2B71" w:rsidRDefault="00BA28EA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1. Популяризація туристичного потенціалу Малинської МТГ</w:t>
            </w:r>
          </w:p>
          <w:p w:rsidR="00BA28EA" w:rsidRPr="004D2B71" w:rsidRDefault="00BA28EA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pStyle w:val="a4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Презентація</w:t>
            </w:r>
          </w:p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МТГ</w:t>
            </w:r>
          </w:p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на туристичних Міжнародних, Всеукраїнських та регіональних виставках, форумах, семінарах тощо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A28EA" w:rsidRPr="004D2B71" w:rsidRDefault="009C7463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Відділи  культури, </w:t>
            </w:r>
            <w:r w:rsidR="00BA28EA"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економіки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інвестицій виконавчого комітету Малинської міської ради</w:t>
            </w:r>
            <w:r w:rsidR="00BA28EA"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BA28EA"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краєзнавчий музей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15, 0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15, 0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участі представників МТГ у туристичних Міжнародних, Всеукраїнських та регіональних виставках, форумах тощо</w:t>
            </w:r>
          </w:p>
        </w:tc>
      </w:tr>
      <w:tr w:rsidR="000726D1" w:rsidRPr="00E34900" w:rsidTr="004D2B71">
        <w:trPr>
          <w:trHeight w:val="1434"/>
          <w:jc w:val="center"/>
        </w:trPr>
        <w:tc>
          <w:tcPr>
            <w:tcW w:w="1839" w:type="dxa"/>
            <w:vMerge/>
            <w:vAlign w:val="center"/>
          </w:tcPr>
          <w:p w:rsidR="00BA28EA" w:rsidRPr="004D2B71" w:rsidRDefault="00BA28EA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1.2. Проведення виїзних виставок туристичних можливостей Малинської МТГ</w:t>
            </w:r>
          </w:p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55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="009C7463"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виконавчого комітету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міської ради, 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Презентація туристичного потенціалу Малинської МТГ</w:t>
            </w:r>
          </w:p>
        </w:tc>
      </w:tr>
      <w:tr w:rsidR="000726D1" w:rsidRPr="00E34900" w:rsidTr="004D2B71">
        <w:trPr>
          <w:trHeight w:val="559"/>
          <w:jc w:val="center"/>
        </w:trPr>
        <w:tc>
          <w:tcPr>
            <w:tcW w:w="1839" w:type="dxa"/>
            <w:vAlign w:val="center"/>
          </w:tcPr>
          <w:p w:rsidR="00BA28EA" w:rsidRPr="004D2B71" w:rsidRDefault="00BA28EA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1.3. Організація та проведення інформаційно-рекламних турів,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промотурів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інфотурів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для представників засобів масової інформації, міжнародних делегацій та інших осіб, що реалізують політику держави та надають послуги у сфері туризм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A28EA" w:rsidRPr="004D2B71" w:rsidRDefault="009C7463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Відділи  культури, економіки та інвестицій 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Популяризація туристичних можливостей регіону шляхом щорічного проведення інформаційних турів для представників ЗМІ, міжнародних делегацій, тощо</w:t>
            </w:r>
          </w:p>
        </w:tc>
      </w:tr>
      <w:tr w:rsidR="000726D1" w:rsidRPr="006C0230" w:rsidTr="004D2B71">
        <w:trPr>
          <w:trHeight w:val="2838"/>
          <w:jc w:val="center"/>
        </w:trPr>
        <w:tc>
          <w:tcPr>
            <w:tcW w:w="1839" w:type="dxa"/>
            <w:vAlign w:val="center"/>
          </w:tcPr>
          <w:p w:rsidR="00BA28EA" w:rsidRPr="004D2B71" w:rsidRDefault="00BA28EA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1.4. Орган</w:t>
            </w:r>
            <w:bookmarkStart w:id="0" w:name="_GoBack"/>
            <w:bookmarkEnd w:id="0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ізація та проведення соціальних екскурсійних турів для різних верств населення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</w:t>
            </w:r>
            <w:r w:rsidR="0099448C"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виконавчого комітету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міської ради, 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A28EA" w:rsidRPr="004D2B71" w:rsidRDefault="00BA28E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Збільшення рівня інформованості та мобільності учнів шкіл та студентів, молоді, підтримка подорожей людей літнього віку, соціально незахищених верств населення області</w:t>
            </w:r>
          </w:p>
        </w:tc>
      </w:tr>
      <w:tr w:rsidR="000726D1" w:rsidRPr="002E097D" w:rsidTr="004D2B71">
        <w:trPr>
          <w:trHeight w:val="2102"/>
          <w:jc w:val="center"/>
        </w:trPr>
        <w:tc>
          <w:tcPr>
            <w:tcW w:w="1839" w:type="dxa"/>
            <w:vMerge w:val="restart"/>
            <w:shd w:val="clear" w:color="000000" w:fill="FFFFFF"/>
            <w:vAlign w:val="center"/>
          </w:tcPr>
          <w:p w:rsidR="006F1121" w:rsidRPr="004D2B71" w:rsidRDefault="006F112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2. Інформаційне забезпечення</w:t>
            </w:r>
          </w:p>
        </w:tc>
        <w:tc>
          <w:tcPr>
            <w:tcW w:w="226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2.1. Виготовлення презентаційної, сувенірної та друкованої продукції різними мовами (буклети, фотоальбоми, довідники, путівники, мапи, схеми маршрутів ті інше)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F1121" w:rsidRPr="004D2B71" w:rsidRDefault="0099448C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Відділи  культури, економіки та інвестицій 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Розповсюдження матеріалів під час проведення заходів та на інформаційних розкладках</w:t>
            </w:r>
          </w:p>
        </w:tc>
      </w:tr>
      <w:tr w:rsidR="000726D1" w:rsidRPr="002E097D" w:rsidTr="004D2B71">
        <w:trPr>
          <w:trHeight w:val="2165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6F1121" w:rsidRPr="004D2B71" w:rsidRDefault="006F112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2.2. Виготовлення інформаційної аудіовізуальної продукції про туристичний потенціал Малинської МТГ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F1121" w:rsidRPr="004D2B71" w:rsidRDefault="0099448C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Відділи  культури, економіки та інвестицій 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Створення презентаційних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промороликів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, фільмів</w:t>
            </w:r>
          </w:p>
        </w:tc>
      </w:tr>
      <w:tr w:rsidR="000726D1" w:rsidRPr="002E097D" w:rsidTr="004D2B71">
        <w:trPr>
          <w:trHeight w:val="2119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6F1121" w:rsidRPr="004D2B71" w:rsidRDefault="006F112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2.3. Виготовлення та розміщення інформаційних табличок, QR-кодів,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інстаміток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, тощо на туристичних об’єктах Малинської МТГ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F1121" w:rsidRPr="004D2B71" w:rsidRDefault="0099448C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Відділи  культури, економіки та інвестицій 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Покращення рівня інформаційної доступності для туристів</w:t>
            </w:r>
          </w:p>
        </w:tc>
      </w:tr>
      <w:tr w:rsidR="000726D1" w:rsidRPr="006C0230" w:rsidTr="004D2B71">
        <w:trPr>
          <w:trHeight w:val="2119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6F1121" w:rsidRPr="004D2B71" w:rsidRDefault="006F112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2.4. Створення віртуальних турів туристичними локаціями Малинської МТГ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6F1121" w:rsidRPr="004D2B71" w:rsidRDefault="006F1121" w:rsidP="00291A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Від</w:t>
            </w:r>
            <w:r w:rsidR="00D74FC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Секретар міської ради</w:t>
            </w:r>
            <w:r w:rsidR="00D74FC6" w:rsidRPr="006F112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                               </w:t>
            </w:r>
            <w:r w:rsidR="00D74FC6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                                                                                                  </w:t>
            </w:r>
            <w:r w:rsidR="00D74FC6" w:rsidRPr="006F112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  </w:t>
            </w:r>
            <w:r w:rsidR="00D74FC6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Василь МАЙСТЕНКО</w:t>
            </w:r>
            <w:r w:rsidR="00D74FC6"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діл культури </w:t>
            </w:r>
            <w:r w:rsidR="0099448C"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виконавчого комітету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функціонування віртуальних екскурсій у форматі ЗD з метою популяризації туристичних можливостей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Малинщини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засобами інтернету, поліпшені інформованості мешканців інших регіонів про туристичний потенціал Малинської МТГ</w:t>
            </w:r>
          </w:p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726D1" w:rsidRPr="002E097D" w:rsidTr="004D2B71">
        <w:trPr>
          <w:trHeight w:val="2119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6F1121" w:rsidRPr="004D2B71" w:rsidRDefault="006F112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2.5. </w:t>
            </w:r>
            <w:r w:rsidR="00F91A6A"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Придбання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мобільного виставкового обладнання, інформаційних стендів для презентації туристично-рекреаційного потенціалу Малинської МТГ на різноманітних заходах</w:t>
            </w:r>
          </w:p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55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99448C" w:rsidRPr="004D2B71" w:rsidRDefault="0099448C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Відділи  культури, економіки та інвестицій 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6F1121" w:rsidRPr="004D2B71" w:rsidRDefault="006F112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6F1121" w:rsidRPr="004D2B71" w:rsidRDefault="006F1121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6F1121" w:rsidRPr="004D2B71" w:rsidRDefault="00F91A6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Придбання</w:t>
            </w:r>
            <w:r w:rsidR="006F1121"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мобільних стендів, палаток, тощо</w:t>
            </w:r>
          </w:p>
        </w:tc>
      </w:tr>
      <w:tr w:rsidR="000726D1" w:rsidRPr="006C0230" w:rsidTr="004D2B71">
        <w:trPr>
          <w:trHeight w:val="2119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D719DA" w:rsidRPr="004D2B71" w:rsidRDefault="00D719DA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2.6. Організація розміщення інформаційних стендів,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сітілайтів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тощо про види туризму та туристичні магніти  Малинської МТГ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виконавчого комітету Малинської міської ради, 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  <w:p w:rsidR="00D719DA" w:rsidRPr="004D2B71" w:rsidRDefault="00D719D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D719DA" w:rsidRPr="004D2B71" w:rsidRDefault="00D719D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30,0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D719DA" w:rsidRPr="004D2B71" w:rsidRDefault="00D719D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Ознайомлення з туристичним потенціалом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Малинщини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, поліпшення рівня інформованості туристів, що відвідають МТГ про наявні туристичні об'єкти</w:t>
            </w:r>
          </w:p>
        </w:tc>
      </w:tr>
      <w:tr w:rsidR="00AF18A7" w:rsidRPr="00D719DA" w:rsidTr="004D2B71">
        <w:trPr>
          <w:trHeight w:val="3117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AF18A7" w:rsidRPr="004D2B71" w:rsidRDefault="00AF18A7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2.7.Створення нових культурно-етнографічних  маршрутів  «Давні ремесла та промисли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Малинщини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» з включенням до них музею-садиби родини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Романчуків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с.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Савлуки</w:t>
            </w:r>
            <w:proofErr w:type="spellEnd"/>
          </w:p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(буклети, фотоальбоми, довідники, путівники, мапи, схема маршруту  інше)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виконавчого комітету Малинської міської ради, 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AF18A7" w:rsidRPr="004D2B71" w:rsidRDefault="00DD443A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Популяризація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культурно-етнографічних 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ремесел та промислів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Малинщини</w:t>
            </w:r>
            <w:proofErr w:type="spellEnd"/>
          </w:p>
        </w:tc>
      </w:tr>
      <w:tr w:rsidR="00AF18A7" w:rsidRPr="00D719DA" w:rsidTr="004D2B71">
        <w:trPr>
          <w:trHeight w:val="1686"/>
          <w:jc w:val="center"/>
        </w:trPr>
        <w:tc>
          <w:tcPr>
            <w:tcW w:w="1839" w:type="dxa"/>
            <w:shd w:val="clear" w:color="000000" w:fill="FFFFFF"/>
            <w:vAlign w:val="center"/>
          </w:tcPr>
          <w:p w:rsidR="00AF18A7" w:rsidRPr="004D2B71" w:rsidRDefault="00AF18A7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3. Розвиток туристичної інфраструктури</w:t>
            </w:r>
          </w:p>
          <w:p w:rsidR="00AF18A7" w:rsidRPr="004D2B71" w:rsidRDefault="00AF18A7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F18A7" w:rsidRPr="004D2B71" w:rsidRDefault="00AF18A7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3.1. Маркування туристичних маршрутів</w:t>
            </w:r>
          </w:p>
          <w:p w:rsidR="00AF18A7" w:rsidRPr="004D2B71" w:rsidRDefault="00AF18A7" w:rsidP="004D2B7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F18A7" w:rsidRPr="004D2B71" w:rsidRDefault="00AF18A7" w:rsidP="004D2B71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55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Відділ культури</w:t>
            </w:r>
            <w:r w:rsidRPr="004D2B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AF18A7" w:rsidRPr="004D2B71" w:rsidRDefault="00AF18A7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Встановлення вказівників на туристичних маршрутах по території Малинської  МТГ</w:t>
            </w:r>
          </w:p>
        </w:tc>
      </w:tr>
      <w:tr w:rsidR="00BC52D2" w:rsidRPr="00D719DA" w:rsidTr="004D2B71">
        <w:trPr>
          <w:trHeight w:val="1416"/>
          <w:jc w:val="center"/>
        </w:trPr>
        <w:tc>
          <w:tcPr>
            <w:tcW w:w="1839" w:type="dxa"/>
            <w:vMerge w:val="restart"/>
            <w:shd w:val="clear" w:color="000000" w:fill="FFFFFF"/>
            <w:vAlign w:val="center"/>
          </w:tcPr>
          <w:p w:rsidR="004D2B71" w:rsidRPr="004D2B71" w:rsidRDefault="004D2B7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D2B71" w:rsidRPr="004D2B71" w:rsidRDefault="004D2B7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D2B71" w:rsidRDefault="004D2B7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D2B71" w:rsidRDefault="004D2B7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D2B71" w:rsidRDefault="004D2B7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4D2B71" w:rsidRPr="004D2B71" w:rsidRDefault="004D2B71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C52D2" w:rsidRPr="004D2B71" w:rsidRDefault="00BC52D2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4. Сприяння суб’єктам господарювання в реалізації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 сфері туризму</w:t>
            </w:r>
          </w:p>
          <w:p w:rsidR="00BC52D2" w:rsidRPr="004D2B71" w:rsidRDefault="00BC52D2" w:rsidP="006C0230">
            <w:pPr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C52D2" w:rsidRPr="004D2B71" w:rsidRDefault="00BC52D2" w:rsidP="006C0230">
            <w:pPr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C52D2" w:rsidRPr="004D2B71" w:rsidRDefault="00BC52D2" w:rsidP="006C0230">
            <w:pPr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C52D2" w:rsidRPr="004D2B71" w:rsidRDefault="00BC52D2" w:rsidP="006C0230">
            <w:pPr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C52D2" w:rsidRPr="004D2B71" w:rsidRDefault="00BC52D2" w:rsidP="006C0230">
            <w:pPr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C52D2" w:rsidRPr="004D2B71" w:rsidRDefault="00BC52D2" w:rsidP="006C0230">
            <w:pPr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C52D2" w:rsidRPr="004D2B71" w:rsidRDefault="00BC52D2" w:rsidP="006C0230">
            <w:pPr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BC52D2" w:rsidRPr="004D2B71" w:rsidRDefault="00BC52D2" w:rsidP="006C0230">
            <w:pPr>
              <w:ind w:left="121" w:firstLine="708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4.1. Організація та проведення заходів (виставок, конкурсів, форумів тощо) туристичного спрямування.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Відділи  культури, економіки та інвестицій виконавчого комітету Малинської міської ради,  </w:t>
            </w:r>
            <w:r w:rsidRPr="004D2B7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 xml:space="preserve">управління освіти, молоді, спорту та національно-патріотичного виховання виконавчого комітету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міської ради 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45,0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15,0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заходів з метою  розвитку та популяризації туристичної сфери</w:t>
            </w:r>
          </w:p>
        </w:tc>
      </w:tr>
      <w:tr w:rsidR="00BC52D2" w:rsidRPr="00D719DA" w:rsidTr="004D2B71">
        <w:trPr>
          <w:trHeight w:val="1686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BC52D2" w:rsidRPr="004D2B71" w:rsidRDefault="00BC52D2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4.2. Підготовка та проведення святкових заходів до Всесвітнього дня туризму та Дня туризму в України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Відділи  культури, економіки та інвестицій виконавчого комітету Малинської міської ради,  </w:t>
            </w:r>
            <w:r w:rsidRPr="004D2B7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 xml:space="preserve">управління освіти, молоді, спорту та національно-патріотичного виховання виконавчого комітету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Малинської міської ради 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15,0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Щорічне проведення заходів до Всесвітнього дня туризму та Дня туризму в Україні</w:t>
            </w:r>
          </w:p>
        </w:tc>
      </w:tr>
      <w:tr w:rsidR="00BC52D2" w:rsidRPr="00D719DA" w:rsidTr="004D2B71">
        <w:trPr>
          <w:trHeight w:val="1686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BC52D2" w:rsidRPr="004D2B71" w:rsidRDefault="00BC52D2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4.3.Підготовка та проведення шкільних туристичних змагань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  <w:lang w:val="uk-UA"/>
              </w:rPr>
              <w:t xml:space="preserve">Управління освіти, молоді, спорту та національно-патріотичного виховання виконавчого комітету </w:t>
            </w: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Малинської міської ради</w:t>
            </w:r>
          </w:p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Коштів не потребує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C52D2" w:rsidRPr="004D2B71" w:rsidRDefault="004D2B71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З</w:t>
            </w:r>
            <w:r w:rsidR="00BC52D2" w:rsidRPr="004D2B71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міцнення здоров’я та фізичного розвитку школярів</w:t>
            </w:r>
          </w:p>
        </w:tc>
      </w:tr>
      <w:tr w:rsidR="00BC52D2" w:rsidRPr="00D719DA" w:rsidTr="004D2B71">
        <w:trPr>
          <w:trHeight w:val="1686"/>
          <w:jc w:val="center"/>
        </w:trPr>
        <w:tc>
          <w:tcPr>
            <w:tcW w:w="1839" w:type="dxa"/>
            <w:shd w:val="clear" w:color="000000" w:fill="FFFFFF"/>
            <w:vAlign w:val="center"/>
          </w:tcPr>
          <w:p w:rsidR="00BC52D2" w:rsidRPr="004D2B71" w:rsidRDefault="00BC52D2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5. Проведення навчань, семінарів, конференції тощо</w:t>
            </w:r>
          </w:p>
          <w:p w:rsidR="00BC52D2" w:rsidRPr="004D2B71" w:rsidRDefault="00BC52D2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5.1. Проведення навчальних тренінгів,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воркшопів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, майстер-класів для фахівців у сфері туризму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Відділи  культури, економіки та інвестицій виконавчого комітету Малинської міської ради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Коштів не потребує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1969" w:type="dxa"/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навчань для працівників туристичної сфери із залученням фахівців вищого рівня</w:t>
            </w:r>
          </w:p>
        </w:tc>
      </w:tr>
      <w:tr w:rsidR="00AB7AC0" w:rsidRPr="00D719DA" w:rsidTr="004D2B71">
        <w:trPr>
          <w:trHeight w:val="1395"/>
          <w:jc w:val="center"/>
        </w:trPr>
        <w:tc>
          <w:tcPr>
            <w:tcW w:w="1839" w:type="dxa"/>
            <w:vMerge w:val="restart"/>
            <w:shd w:val="clear" w:color="000000" w:fill="FFFFFF"/>
            <w:vAlign w:val="center"/>
          </w:tcPr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6. Відродження давніх поліських ремесел</w:t>
            </w: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6.1. Створення та забезпечення діяльності гончарної майстерні Малинського міського краєзнавчого музею.</w:t>
            </w:r>
          </w:p>
        </w:tc>
        <w:tc>
          <w:tcPr>
            <w:tcW w:w="1155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57,0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42,0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13,0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69" w:type="dxa"/>
            <w:vMerge w:val="restart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Вiдродження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й збагачення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мiсцевих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художнiх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традицiй</w:t>
            </w:r>
            <w:proofErr w:type="spellEnd"/>
          </w:p>
        </w:tc>
      </w:tr>
      <w:tr w:rsidR="00AB7AC0" w:rsidRPr="00D719DA" w:rsidTr="004D2B71">
        <w:trPr>
          <w:trHeight w:val="1500"/>
          <w:jc w:val="center"/>
        </w:trPr>
        <w:tc>
          <w:tcPr>
            <w:tcW w:w="1839" w:type="dxa"/>
            <w:vMerge/>
            <w:shd w:val="clear" w:color="000000" w:fill="FFFFFF"/>
            <w:vAlign w:val="center"/>
          </w:tcPr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6.2.Створення майстерні по виготовленню сувенірної продукції з пірофіліту.</w:t>
            </w:r>
          </w:p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55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2021-2023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професійний ліцей</w:t>
            </w:r>
          </w:p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Залучені кошти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70,0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30,0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69" w:type="dxa"/>
            <w:vMerge/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AB7AC0" w:rsidRPr="00D719DA" w:rsidTr="00D74FC6">
        <w:trPr>
          <w:trHeight w:val="2175"/>
          <w:jc w:val="center"/>
        </w:trPr>
        <w:tc>
          <w:tcPr>
            <w:tcW w:w="1839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6C0230">
            <w:pPr>
              <w:spacing w:after="0" w:line="240" w:lineRule="auto"/>
              <w:ind w:left="121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6.3.Проведення майстер-класів з гончарства для школярів ГО Ніжинське археологічне товариство протягом тижня у вересні (напередодні дня міста)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2021-2023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культури  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10,0</w:t>
            </w: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AB7AC0" w:rsidRPr="004D2B71" w:rsidRDefault="00AB7AC0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969" w:type="dxa"/>
            <w:vMerge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B7AC0" w:rsidRPr="004D2B71" w:rsidRDefault="00AB7AC0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C52D2" w:rsidRPr="006C0230" w:rsidTr="00D74FC6">
        <w:trPr>
          <w:trHeight w:val="1686"/>
          <w:jc w:val="center"/>
        </w:trPr>
        <w:tc>
          <w:tcPr>
            <w:tcW w:w="183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6C02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21" w:hanging="1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7.Популяризація видатних особистостей Малина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7.1. У зв'язку із святкуванням 175-річчя з дня народження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М.М.Миклухо-Маклая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створити відеофільм «Миклухо-Маклай і Україна»  із запрошенням професійного оператора.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І половина 2021 року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Відділи культури, організаційної роботи та по зв’язках з громадськістю</w:t>
            </w:r>
          </w:p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виконавчого комітету Малинської міської ради,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Малинський</w:t>
            </w:r>
            <w:proofErr w:type="spellEnd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краєзнавчий музей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196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BC52D2" w:rsidRPr="004D2B71" w:rsidRDefault="00BC52D2" w:rsidP="004D2B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Популяризація історії міста, видатної особистості, вченого, етнографа, гуманіста </w:t>
            </w:r>
            <w:proofErr w:type="spellStart"/>
            <w:r w:rsidRPr="004D2B71">
              <w:rPr>
                <w:rFonts w:ascii="Times New Roman" w:hAnsi="Times New Roman"/>
                <w:sz w:val="20"/>
                <w:szCs w:val="20"/>
                <w:lang w:val="uk-UA"/>
              </w:rPr>
              <w:t>М.М.Миклухо-Маклая</w:t>
            </w:r>
            <w:proofErr w:type="spellEnd"/>
          </w:p>
        </w:tc>
      </w:tr>
      <w:tr w:rsidR="00BC52D2" w:rsidRPr="00D719DA" w:rsidTr="00D74FC6">
        <w:trPr>
          <w:trHeight w:val="810"/>
          <w:jc w:val="center"/>
        </w:trPr>
        <w:tc>
          <w:tcPr>
            <w:tcW w:w="1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52D2" w:rsidRDefault="00BC52D2" w:rsidP="006C02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21" w:hanging="1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6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BC52D2" w:rsidRDefault="00BC52D2" w:rsidP="00BC52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ВСЬОГО ПО ПРОГРАМІ:</w:t>
            </w:r>
          </w:p>
          <w:p w:rsidR="00BC52D2" w:rsidRDefault="00BC52D2" w:rsidP="00BC52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В тому числі: міський бюджет</w:t>
            </w:r>
          </w:p>
          <w:p w:rsidR="00BC52D2" w:rsidRDefault="00BC52D2" w:rsidP="00BC52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Інші джерела</w:t>
            </w:r>
          </w:p>
          <w:p w:rsidR="00BC52D2" w:rsidRPr="002E097D" w:rsidRDefault="00BC52D2" w:rsidP="00BC52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687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617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262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232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218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198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 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207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187</w:t>
            </w: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,0</w:t>
            </w:r>
          </w:p>
          <w:p w:rsidR="00BC52D2" w:rsidRPr="004E12C5" w:rsidRDefault="00BC52D2" w:rsidP="00BC52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4E12C5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20,0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</w:tcPr>
          <w:p w:rsidR="00BC52D2" w:rsidRDefault="00BC52D2" w:rsidP="00BC5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C52D2" w:rsidRPr="00D719DA" w:rsidTr="00D74FC6">
        <w:trPr>
          <w:trHeight w:val="865"/>
          <w:jc w:val="center"/>
        </w:trPr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52D2" w:rsidRDefault="00BC52D2" w:rsidP="006C0230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121" w:hanging="1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52D2" w:rsidRDefault="00BC52D2" w:rsidP="00BC5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C52D2" w:rsidRPr="002E097D" w:rsidRDefault="00BC52D2" w:rsidP="00BC52D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*  Конкретні обсяги фінансування визначаються щороку,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2E097D">
              <w:rPr>
                <w:rFonts w:ascii="Times New Roman" w:hAnsi="Times New Roman"/>
                <w:b/>
                <w:bCs/>
                <w:sz w:val="20"/>
                <w:szCs w:val="20"/>
                <w:lang w:val="uk-UA"/>
              </w:rPr>
              <w:t>виходячи з реальних фінансових можливостей</w:t>
            </w:r>
          </w:p>
          <w:p w:rsidR="00BC52D2" w:rsidRPr="002E097D" w:rsidRDefault="00BC52D2" w:rsidP="00BC5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E097D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</w:p>
          <w:p w:rsidR="00BC52D2" w:rsidRDefault="00BC52D2" w:rsidP="00BC52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4D2B71" w:rsidRDefault="004D2B71" w:rsidP="000726D1">
      <w:pPr>
        <w:pStyle w:val="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2B71" w:rsidRDefault="004D2B71" w:rsidP="000726D1">
      <w:pPr>
        <w:pStyle w:val="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726D1" w:rsidRDefault="000726D1" w:rsidP="000726D1">
      <w:pPr>
        <w:pStyle w:val="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2B71" w:rsidRDefault="004D2B71" w:rsidP="000726D1">
      <w:pPr>
        <w:pStyle w:val="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2B71" w:rsidRDefault="004D2B71" w:rsidP="000726D1">
      <w:pPr>
        <w:pStyle w:val="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2B71" w:rsidRDefault="004D2B71" w:rsidP="000726D1">
      <w:pPr>
        <w:pStyle w:val="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D2B71" w:rsidRDefault="004D2B71" w:rsidP="000726D1">
      <w:pPr>
        <w:pStyle w:val="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1121" w:rsidRPr="006F1121" w:rsidRDefault="006F1121" w:rsidP="006F1121">
      <w:pPr>
        <w:spacing w:after="0" w:line="240" w:lineRule="auto"/>
        <w:ind w:left="4820"/>
        <w:jc w:val="right"/>
        <w:rPr>
          <w:rFonts w:ascii="Times New Roman" w:hAnsi="Times New Roman"/>
          <w:sz w:val="18"/>
          <w:szCs w:val="18"/>
          <w:lang w:val="uk-UA" w:eastAsia="ru-RU"/>
        </w:rPr>
      </w:pPr>
      <w:r w:rsidRPr="006F1121">
        <w:rPr>
          <w:rFonts w:ascii="Times New Roman" w:hAnsi="Times New Roman"/>
          <w:sz w:val="18"/>
          <w:szCs w:val="18"/>
          <w:lang w:val="uk-UA" w:eastAsia="ru-RU"/>
        </w:rPr>
        <w:lastRenderedPageBreak/>
        <w:t xml:space="preserve">Додаток </w:t>
      </w:r>
      <w:r w:rsidRPr="005629F7">
        <w:rPr>
          <w:rFonts w:ascii="Times New Roman" w:hAnsi="Times New Roman"/>
          <w:sz w:val="18"/>
          <w:szCs w:val="18"/>
          <w:lang w:val="uk-UA" w:eastAsia="ru-RU"/>
        </w:rPr>
        <w:t>1</w:t>
      </w:r>
    </w:p>
    <w:p w:rsidR="00BE56D4" w:rsidRPr="00BE56D4" w:rsidRDefault="006F1121" w:rsidP="00BE56D4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ru-RU"/>
        </w:rPr>
      </w:pPr>
      <w:r w:rsidRPr="00BE56D4">
        <w:rPr>
          <w:rFonts w:ascii="Times New Roman" w:hAnsi="Times New Roman"/>
          <w:sz w:val="18"/>
          <w:szCs w:val="18"/>
          <w:lang w:val="uk-UA" w:eastAsia="ru-RU"/>
        </w:rPr>
        <w:t xml:space="preserve">до </w:t>
      </w:r>
      <w:r w:rsidR="00BE56D4" w:rsidRPr="00BE56D4">
        <w:rPr>
          <w:rFonts w:ascii="Times New Roman" w:hAnsi="Times New Roman"/>
          <w:sz w:val="18"/>
          <w:szCs w:val="18"/>
          <w:lang w:val="uk-UA" w:eastAsia="ru-RU"/>
        </w:rPr>
        <w:t xml:space="preserve">Програми розвитку туризму </w:t>
      </w:r>
    </w:p>
    <w:p w:rsidR="00BE56D4" w:rsidRPr="00BE56D4" w:rsidRDefault="00BE56D4" w:rsidP="00BE56D4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ru-RU"/>
        </w:rPr>
      </w:pPr>
      <w:r w:rsidRPr="00BE56D4">
        <w:rPr>
          <w:rFonts w:ascii="Times New Roman" w:hAnsi="Times New Roman"/>
          <w:sz w:val="18"/>
          <w:szCs w:val="18"/>
          <w:lang w:val="uk-UA" w:eastAsia="ru-RU"/>
        </w:rPr>
        <w:t>Малинської міської територіальної громади</w:t>
      </w:r>
    </w:p>
    <w:p w:rsidR="006F1121" w:rsidRPr="00BE56D4" w:rsidRDefault="00BE56D4" w:rsidP="00BE56D4">
      <w:pPr>
        <w:spacing w:after="0" w:line="240" w:lineRule="auto"/>
        <w:jc w:val="right"/>
        <w:rPr>
          <w:rFonts w:ascii="Times New Roman" w:hAnsi="Times New Roman"/>
          <w:b/>
          <w:sz w:val="16"/>
          <w:szCs w:val="16"/>
          <w:lang w:val="uk-UA" w:eastAsia="ru-RU"/>
        </w:rPr>
      </w:pPr>
      <w:r w:rsidRPr="00BE56D4">
        <w:rPr>
          <w:rFonts w:ascii="Times New Roman" w:hAnsi="Times New Roman"/>
          <w:sz w:val="18"/>
          <w:szCs w:val="18"/>
          <w:lang w:val="uk-UA" w:eastAsia="ru-RU"/>
        </w:rPr>
        <w:t xml:space="preserve"> на 2021 – 2023 роки</w:t>
      </w:r>
    </w:p>
    <w:p w:rsidR="006F1121" w:rsidRPr="006F1121" w:rsidRDefault="006F1121" w:rsidP="006F1121">
      <w:pPr>
        <w:spacing w:after="0" w:line="240" w:lineRule="auto"/>
        <w:jc w:val="center"/>
        <w:rPr>
          <w:rFonts w:ascii="Times New Roman" w:eastAsia="Calibri" w:hAnsi="Times New Roman"/>
          <w:b/>
          <w:iCs/>
          <w:sz w:val="24"/>
          <w:szCs w:val="24"/>
          <w:lang w:val="uk-UA"/>
        </w:rPr>
      </w:pPr>
      <w:r w:rsidRPr="006F1121">
        <w:rPr>
          <w:rFonts w:ascii="Times New Roman" w:eastAsia="Calibri" w:hAnsi="Times New Roman"/>
          <w:b/>
          <w:iCs/>
          <w:sz w:val="24"/>
          <w:szCs w:val="24"/>
          <w:lang w:val="uk-UA"/>
        </w:rPr>
        <w:t>Перелік</w:t>
      </w:r>
    </w:p>
    <w:p w:rsidR="006F1121" w:rsidRPr="00611635" w:rsidRDefault="00611635" w:rsidP="006F1121">
      <w:pPr>
        <w:spacing w:after="0" w:line="240" w:lineRule="auto"/>
        <w:jc w:val="center"/>
        <w:rPr>
          <w:rFonts w:ascii="Times New Roman" w:eastAsia="Calibri" w:hAnsi="Times New Roman"/>
          <w:b/>
          <w:iCs/>
          <w:sz w:val="24"/>
          <w:szCs w:val="24"/>
          <w:lang w:val="uk-UA"/>
        </w:rPr>
      </w:pPr>
      <w:r w:rsidRPr="00611635">
        <w:rPr>
          <w:rFonts w:ascii="Times New Roman" w:eastAsia="Calibri" w:hAnsi="Times New Roman"/>
          <w:b/>
          <w:iCs/>
          <w:sz w:val="24"/>
          <w:szCs w:val="24"/>
          <w:lang w:val="uk-UA"/>
        </w:rPr>
        <w:t>основних</w:t>
      </w:r>
      <w:r w:rsidR="006F1121" w:rsidRPr="00611635">
        <w:rPr>
          <w:rFonts w:ascii="Times New Roman" w:eastAsia="Calibri" w:hAnsi="Times New Roman"/>
          <w:b/>
          <w:iCs/>
          <w:sz w:val="24"/>
          <w:szCs w:val="24"/>
          <w:lang w:val="uk-UA"/>
        </w:rPr>
        <w:t xml:space="preserve"> заходів на 2021 рік</w:t>
      </w:r>
    </w:p>
    <w:p w:rsidR="006F1121" w:rsidRPr="007C0718" w:rsidRDefault="006F1121" w:rsidP="006F1121">
      <w:pPr>
        <w:spacing w:after="0" w:line="240" w:lineRule="auto"/>
        <w:jc w:val="center"/>
        <w:rPr>
          <w:rFonts w:ascii="Times New Roman" w:eastAsia="Calibri" w:hAnsi="Times New Roman"/>
          <w:b/>
          <w:iCs/>
          <w:color w:val="FF0000"/>
          <w:sz w:val="24"/>
          <w:szCs w:val="24"/>
          <w:lang w:val="uk-UA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938"/>
        <w:gridCol w:w="9072"/>
        <w:gridCol w:w="1171"/>
        <w:gridCol w:w="1381"/>
      </w:tblGrid>
      <w:tr w:rsidR="004C14A9" w:rsidRPr="006F1121" w:rsidTr="004C14A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4A9" w:rsidRPr="006F1121" w:rsidRDefault="004C14A9" w:rsidP="004C14A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lang w:val="uk-UA"/>
              </w:rPr>
              <w:t>№</w:t>
            </w:r>
          </w:p>
          <w:p w:rsidR="004C14A9" w:rsidRPr="006F1121" w:rsidRDefault="004C14A9" w:rsidP="004C14A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8"/>
                <w:szCs w:val="28"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lang w:val="uk-UA"/>
              </w:rPr>
              <w:t>з/п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4A9" w:rsidRPr="006F1121" w:rsidRDefault="004C14A9" w:rsidP="004C14A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lang w:val="uk-UA"/>
              </w:rPr>
              <w:t>Завдання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4A9" w:rsidRPr="006F1121" w:rsidRDefault="004C14A9" w:rsidP="004C14A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lang w:val="uk-UA"/>
              </w:rPr>
              <w:t>Назва заходів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4A9" w:rsidRPr="006F1121" w:rsidRDefault="004C14A9" w:rsidP="004C14A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lang w:val="uk-UA"/>
              </w:rPr>
              <w:t>КЕКВ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4C14A9" w:rsidP="004C14A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lang w:val="uk-UA"/>
              </w:rPr>
              <w:t>Сума коштів, грн.</w:t>
            </w:r>
          </w:p>
        </w:tc>
      </w:tr>
      <w:tr w:rsidR="004C14A9" w:rsidRPr="006F1121" w:rsidTr="004C14A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4C14A9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A9" w:rsidRPr="004C14A9" w:rsidRDefault="004C14A9" w:rsidP="004C14A9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Популяризація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туристичного потенціалу Малинської МТГ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4C14A9" w:rsidP="00F84B3D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Презентація Малинської МТГ на туристичних Міжнаро</w:t>
            </w:r>
            <w:r w:rsidR="00F84B3D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д</w:t>
            </w: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них, Всеукраїнських та регіональних виставках, форумах. Проведення виставок, інформаційно-рекламних</w:t>
            </w:r>
            <w:r w:rsidR="00EB1412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EB1412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промотурів</w:t>
            </w:r>
            <w:proofErr w:type="spellEnd"/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та соціальних турів</w:t>
            </w:r>
            <w:r w:rsidR="00EB1412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для різних верств населення</w:t>
            </w: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, тощо.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4C14A9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4C14A9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4C14A9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40 000</w:t>
            </w:r>
          </w:p>
        </w:tc>
      </w:tr>
      <w:tr w:rsidR="00F91A6A" w:rsidRPr="00F91A6A" w:rsidTr="009C7463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1A6A" w:rsidRPr="006F1121" w:rsidRDefault="00F91A6A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2.</w:t>
            </w:r>
          </w:p>
          <w:p w:rsidR="00F91A6A" w:rsidRPr="006F1121" w:rsidRDefault="00F91A6A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1A6A" w:rsidRPr="004C14A9" w:rsidRDefault="00F91A6A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Інформаційне забезпечення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6A" w:rsidRPr="00F91A6A" w:rsidRDefault="00F91A6A" w:rsidP="00F91A6A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Виготовлення презентаційної, сувенірної  та друкованої продукції різними мовами (буклети, фотоальбоми, путівники, схеми маршрутів та інше), аудіовізуальної продукції, 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QR-кодів, </w:t>
            </w:r>
            <w:proofErr w:type="spellStart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інстаміток</w:t>
            </w:r>
            <w:proofErr w:type="spellEnd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, тощо на туристичних об’єктах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громади.</w:t>
            </w:r>
          </w:p>
          <w:p w:rsidR="00F91A6A" w:rsidRDefault="00F91A6A" w:rsidP="00F91A6A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Створення віртуальних турів туристичними локаціями Малинської МТГ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  <w:p w:rsidR="00F91A6A" w:rsidRPr="006F1121" w:rsidRDefault="00F91A6A" w:rsidP="00F91A6A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Організація розміщення інформаційних стендів, </w:t>
            </w:r>
            <w:proofErr w:type="spellStart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сітілайтів</w:t>
            </w:r>
            <w:proofErr w:type="spellEnd"/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тощо про види туризму та туристичні магніти  Малинської МТГ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6A" w:rsidRPr="006F1121" w:rsidRDefault="00F91A6A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6A" w:rsidRPr="006F1121" w:rsidRDefault="00F91A6A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65 000</w:t>
            </w:r>
          </w:p>
        </w:tc>
      </w:tr>
      <w:tr w:rsidR="00F91A6A" w:rsidRPr="00F91A6A" w:rsidTr="009C7463"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6A" w:rsidRPr="006F1121" w:rsidRDefault="00F91A6A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A6A" w:rsidRPr="004C14A9" w:rsidRDefault="00F91A6A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6A" w:rsidRPr="006F1121" w:rsidRDefault="00F91A6A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Придбання моб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ільного виставкового обладнання </w:t>
            </w:r>
            <w:r>
              <w:t xml:space="preserve"> </w:t>
            </w:r>
            <w:r w:rsidRPr="00F91A6A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для презентації туристично-рекреаційного потенціалу Малинської МТГ на різноманітних заходах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6A" w:rsidRPr="006F1121" w:rsidRDefault="00F91A6A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A6A" w:rsidRPr="006F1121" w:rsidRDefault="00F91A6A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0 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000</w:t>
            </w:r>
          </w:p>
        </w:tc>
      </w:tr>
      <w:tr w:rsidR="004C14A9" w:rsidRPr="00F91A6A" w:rsidTr="004C14A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F91A6A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3</w:t>
            </w:r>
            <w:r w:rsidR="004C14A9"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A9" w:rsidRPr="004C14A9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Розвиток туристичної інфраструктури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Послуги з маркування туристичних маршрутів</w:t>
            </w:r>
            <w:r w:rsidR="00EB1412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(встановлення туристичних вказівників)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B73F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B73F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15 000</w:t>
            </w:r>
          </w:p>
        </w:tc>
      </w:tr>
      <w:tr w:rsidR="004C14A9" w:rsidRPr="006F1121" w:rsidTr="004C14A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4</w:t>
            </w:r>
            <w:r w:rsidR="004C14A9"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A9" w:rsidRPr="004C14A9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Сприяння суб’єктам господарювання в реалізації </w:t>
            </w:r>
            <w:proofErr w:type="spellStart"/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проєктів</w:t>
            </w:r>
            <w:proofErr w:type="spellEnd"/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у сфері туризму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B73FF7" w:rsidP="00B73FF7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Організація та проведення святкових заходів до Всесвітнього дня туризму та Дня туризму в України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, 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виставок, конкурсів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тощо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B73F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4A9" w:rsidRPr="006F1121" w:rsidRDefault="00B73F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10 </w:t>
            </w:r>
            <w:r w:rsidR="004C14A9"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000</w:t>
            </w:r>
          </w:p>
        </w:tc>
      </w:tr>
      <w:tr w:rsidR="00B73FF7" w:rsidRPr="006F1121" w:rsidTr="009C7463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3FF7" w:rsidRPr="006F1121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5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  <w:p w:rsidR="00B73FF7" w:rsidRPr="006F1121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FF7" w:rsidRPr="004C14A9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Відродження давніх поліських ремесел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F7" w:rsidRPr="006F1121" w:rsidRDefault="00B73FF7" w:rsidP="00B73FF7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Придбання предметів та обладнання для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забезпечення діяльності гончарної майстерні Малинського міського краєзнавчого музею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F7" w:rsidRPr="006F1121" w:rsidRDefault="00B73FF7" w:rsidP="00EB1412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2210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F7" w:rsidRPr="006F1121" w:rsidRDefault="00EB1412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42</w:t>
            </w:r>
            <w:r w:rsid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0</w:t>
            </w:r>
            <w:r w:rsidR="00B73FF7"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</w:t>
            </w:r>
          </w:p>
        </w:tc>
      </w:tr>
      <w:tr w:rsidR="00B73FF7" w:rsidRPr="006F1121" w:rsidTr="009C7463">
        <w:tc>
          <w:tcPr>
            <w:tcW w:w="6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F7" w:rsidRPr="006F1121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2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F7" w:rsidRPr="004C14A9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F7" w:rsidRPr="006F1121" w:rsidRDefault="00B73FF7" w:rsidP="00B73FF7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Послуги з п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роведення майстер-класів з гончарства для школярів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F7" w:rsidRPr="006F1121" w:rsidRDefault="00B73F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FF7" w:rsidRPr="006F1121" w:rsidRDefault="00B73F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10 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000</w:t>
            </w:r>
          </w:p>
        </w:tc>
      </w:tr>
      <w:tr w:rsidR="004C14A9" w:rsidRPr="006F1121" w:rsidTr="004C14A9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A9" w:rsidRPr="006F1121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6</w:t>
            </w:r>
            <w:r w:rsidR="004C14A9"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A9" w:rsidRPr="004C14A9" w:rsidRDefault="00B73FF7" w:rsidP="006F1121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Популяризація видатних особистостей Малина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A9" w:rsidRPr="006F1121" w:rsidRDefault="00B73FF7" w:rsidP="00B73FF7">
            <w:pPr>
              <w:spacing w:after="0" w:line="240" w:lineRule="auto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Послуги зі створення 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відеофільм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у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«Миклухо-Маклай і Україна» 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у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зв'язку із святкуванням 175-річчя з дня народження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вченого (</w:t>
            </w:r>
            <w:r w:rsidRP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із запрошенням професійного оператора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A9" w:rsidRPr="006F1121" w:rsidRDefault="00B73F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A9" w:rsidRPr="006F1121" w:rsidRDefault="004C14A9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5</w:t>
            </w:r>
            <w:r w:rsidR="00B73FF7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Pr="006F1121">
              <w:rPr>
                <w:rFonts w:ascii="Times New Roman" w:eastAsia="Calibri" w:hAnsi="Times New Roman"/>
                <w:iCs/>
                <w:sz w:val="24"/>
                <w:szCs w:val="24"/>
                <w:lang w:val="uk-UA"/>
              </w:rPr>
              <w:t>000</w:t>
            </w:r>
          </w:p>
        </w:tc>
      </w:tr>
      <w:tr w:rsidR="005629F7" w:rsidRPr="006F1121" w:rsidTr="009C7463"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9F7" w:rsidRPr="004C14A9" w:rsidRDefault="005629F7" w:rsidP="006F1121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9F7" w:rsidRPr="006F1121" w:rsidRDefault="005629F7" w:rsidP="00B73FF7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 w:rsidRPr="006F1121"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F7" w:rsidRPr="006F1121" w:rsidRDefault="005629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F7" w:rsidRPr="006F1121" w:rsidRDefault="00EB1412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207</w:t>
            </w:r>
            <w:r w:rsidR="005629F7"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 xml:space="preserve"> 000</w:t>
            </w:r>
          </w:p>
        </w:tc>
      </w:tr>
      <w:tr w:rsidR="005629F7" w:rsidRPr="006F1121" w:rsidTr="009C7463">
        <w:tc>
          <w:tcPr>
            <w:tcW w:w="3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9F7" w:rsidRPr="004C14A9" w:rsidRDefault="005629F7" w:rsidP="006F1121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29F7" w:rsidRPr="006F1121" w:rsidRDefault="005629F7" w:rsidP="00B73FF7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 xml:space="preserve">В т.ч. </w:t>
            </w:r>
          </w:p>
          <w:p w:rsidR="005629F7" w:rsidRPr="006F1121" w:rsidRDefault="005629F7" w:rsidP="00B73FF7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F7" w:rsidRPr="006F1121" w:rsidRDefault="005629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2210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F7" w:rsidRPr="006F1121" w:rsidRDefault="005629F7" w:rsidP="00EB141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 xml:space="preserve">  </w:t>
            </w:r>
            <w:r w:rsidR="00EB1412"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62</w:t>
            </w: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 xml:space="preserve"> 000</w:t>
            </w:r>
          </w:p>
        </w:tc>
      </w:tr>
      <w:tr w:rsidR="005629F7" w:rsidRPr="006F1121" w:rsidTr="009C7463">
        <w:tc>
          <w:tcPr>
            <w:tcW w:w="3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F7" w:rsidRPr="004C14A9" w:rsidRDefault="005629F7" w:rsidP="006F1121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9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F7" w:rsidRPr="006F1121" w:rsidRDefault="005629F7" w:rsidP="00B73FF7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F7" w:rsidRPr="006F1121" w:rsidRDefault="005629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2240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F7" w:rsidRPr="006F1121" w:rsidRDefault="005629F7" w:rsidP="005629F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b/>
                <w:iCs/>
                <w:sz w:val="24"/>
                <w:szCs w:val="24"/>
                <w:lang w:val="uk-UA"/>
              </w:rPr>
              <w:t>145 000</w:t>
            </w:r>
          </w:p>
        </w:tc>
      </w:tr>
    </w:tbl>
    <w:p w:rsidR="006F1121" w:rsidRPr="0017391E" w:rsidRDefault="00611635" w:rsidP="0061163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611635">
        <w:rPr>
          <w:rFonts w:ascii="Times New Roman" w:hAnsi="Times New Roman"/>
          <w:sz w:val="24"/>
          <w:szCs w:val="24"/>
          <w:lang w:val="uk-UA" w:eastAsia="ru-RU"/>
        </w:rPr>
        <w:t>Секретар міської ради                                                                                                                                               Василь МАЙСТЕНКО</w:t>
      </w:r>
    </w:p>
    <w:sectPr w:rsidR="006F1121" w:rsidRPr="0017391E" w:rsidSect="006C0230">
      <w:pgSz w:w="16838" w:h="11906" w:orient="landscape"/>
      <w:pgMar w:top="1134" w:right="113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F6742"/>
    <w:multiLevelType w:val="hybridMultilevel"/>
    <w:tmpl w:val="100E3314"/>
    <w:lvl w:ilvl="0" w:tplc="3C306632">
      <w:start w:val="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44F37"/>
    <w:multiLevelType w:val="multilevel"/>
    <w:tmpl w:val="D8FE325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2" w15:restartNumberingAfterBreak="0">
    <w:nsid w:val="6BE04448"/>
    <w:multiLevelType w:val="multilevel"/>
    <w:tmpl w:val="6D920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8F05542"/>
    <w:multiLevelType w:val="multilevel"/>
    <w:tmpl w:val="D8FE325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D0C3A"/>
    <w:rsid w:val="0002566D"/>
    <w:rsid w:val="00037F58"/>
    <w:rsid w:val="000726D1"/>
    <w:rsid w:val="00092437"/>
    <w:rsid w:val="000D0C3A"/>
    <w:rsid w:val="000D132C"/>
    <w:rsid w:val="00105293"/>
    <w:rsid w:val="0014090E"/>
    <w:rsid w:val="0017391E"/>
    <w:rsid w:val="001849A8"/>
    <w:rsid w:val="00291A04"/>
    <w:rsid w:val="002B00BA"/>
    <w:rsid w:val="002C0D49"/>
    <w:rsid w:val="00366D94"/>
    <w:rsid w:val="0048582D"/>
    <w:rsid w:val="004A05FD"/>
    <w:rsid w:val="004C14A9"/>
    <w:rsid w:val="004D02A9"/>
    <w:rsid w:val="004D2B71"/>
    <w:rsid w:val="004E12C5"/>
    <w:rsid w:val="004E52F2"/>
    <w:rsid w:val="005629F7"/>
    <w:rsid w:val="00611635"/>
    <w:rsid w:val="006624DB"/>
    <w:rsid w:val="00667087"/>
    <w:rsid w:val="006C0230"/>
    <w:rsid w:val="006F1121"/>
    <w:rsid w:val="00784623"/>
    <w:rsid w:val="007B1A17"/>
    <w:rsid w:val="007C0718"/>
    <w:rsid w:val="007C61FE"/>
    <w:rsid w:val="008217E0"/>
    <w:rsid w:val="008810F0"/>
    <w:rsid w:val="008B1E64"/>
    <w:rsid w:val="008F2232"/>
    <w:rsid w:val="0099448C"/>
    <w:rsid w:val="009A3010"/>
    <w:rsid w:val="009C7463"/>
    <w:rsid w:val="009F4888"/>
    <w:rsid w:val="00A32D67"/>
    <w:rsid w:val="00AB7AC0"/>
    <w:rsid w:val="00AF18A7"/>
    <w:rsid w:val="00B24830"/>
    <w:rsid w:val="00B73FF7"/>
    <w:rsid w:val="00BA28EA"/>
    <w:rsid w:val="00BC04E2"/>
    <w:rsid w:val="00BC52D2"/>
    <w:rsid w:val="00BE56D4"/>
    <w:rsid w:val="00C16623"/>
    <w:rsid w:val="00C21726"/>
    <w:rsid w:val="00C51596"/>
    <w:rsid w:val="00C66AD6"/>
    <w:rsid w:val="00C7467F"/>
    <w:rsid w:val="00C75C30"/>
    <w:rsid w:val="00D719DA"/>
    <w:rsid w:val="00D738B8"/>
    <w:rsid w:val="00D74FC6"/>
    <w:rsid w:val="00DD443A"/>
    <w:rsid w:val="00DE795E"/>
    <w:rsid w:val="00E877DD"/>
    <w:rsid w:val="00EB1412"/>
    <w:rsid w:val="00F75406"/>
    <w:rsid w:val="00F84B3D"/>
    <w:rsid w:val="00F879C4"/>
    <w:rsid w:val="00F90920"/>
    <w:rsid w:val="00F91A6A"/>
    <w:rsid w:val="00FE2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2F5B3"/>
  <w15:docId w15:val="{D18877E2-CFC1-489A-97A9-1135EBEE1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67F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D0C3A"/>
    <w:pPr>
      <w:ind w:left="720"/>
      <w:contextualSpacing/>
    </w:pPr>
  </w:style>
  <w:style w:type="paragraph" w:styleId="a3">
    <w:name w:val="No Spacing"/>
    <w:uiPriority w:val="1"/>
    <w:qFormat/>
    <w:rsid w:val="00092437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0924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0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23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42C4A-592D-4AD0-8A93-8F39214C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12</Pages>
  <Words>11803</Words>
  <Characters>6728</Characters>
  <Application>Microsoft Office Word</Application>
  <DocSecurity>0</DocSecurity>
  <Lines>56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Пользователь Windows</cp:lastModifiedBy>
  <cp:revision>12</cp:revision>
  <cp:lastPrinted>2021-03-02T06:49:00Z</cp:lastPrinted>
  <dcterms:created xsi:type="dcterms:W3CDTF">2021-02-16T12:59:00Z</dcterms:created>
  <dcterms:modified xsi:type="dcterms:W3CDTF">2021-03-02T06:49:00Z</dcterms:modified>
</cp:coreProperties>
</file>